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jc w:val="center"/>
      </w:pPr>
      <w:r>
        <w:rPr>
          <w:rFonts w:ascii="Georgia" w:cs="Georgia" w:eastAsia="Georgia" w:hAnsi="Georgia"/>
          <w:color w:val="000000"/>
          <w:sz w:val="20"/>
          <w:szCs w:val="20"/>
        </w:rPr>
        <w:t xml:space="preserve">RÉPUBLIQUE DU BÉNIN</w:t>
      </w:r>
    </w:p>
    <w:p>
      <w:pPr>
        <w:spacing w:after="120"/>
        <w:jc w:val="center"/>
      </w:pPr>
      <w:r>
        <w:rPr>
          <w:rFonts w:ascii="Georgia" w:cs="Georgia" w:eastAsia="Georgia" w:hAnsi="Georgia"/>
          <w:color w:val="000000"/>
          <w:sz w:val="24"/>
          <w:szCs w:val="24"/>
        </w:rPr>
        <w:t xml:space="preserve"/>
      </w:r>
    </w:p>
    <w:p>
      <w:pPr>
        <w:spacing w:after="120"/>
        <w:jc w:val="center"/>
      </w:pPr>
      <w:r>
        <w:rPr>
          <w:rFonts w:ascii="Georgia" w:cs="Georgia" w:eastAsia="Georgia" w:hAnsi="Georgia"/>
          <w:i/>
          <w:iCs/>
          <w:color w:val="555555"/>
          <w:sz w:val="17"/>
          <w:szCs w:val="17"/>
        </w:rPr>
        <w:t xml:space="preserve">Fiche projet — Version de travail, à valider avant diffusion aux bailleurs</w:t>
      </w:r>
    </w:p>
    <w:p>
      <w:pPr>
        <w:spacing w:after="120"/>
        <w:jc w:val="center"/>
      </w:pPr>
      <w:r>
        <w:rPr>
          <w:rFonts w:ascii="Georgia" w:cs="Georgia" w:eastAsia="Georgia" w:hAnsi="Georgia"/>
          <w:color w:val="000000"/>
          <w:sz w:val="24"/>
          <w:szCs w:val="24"/>
        </w:rPr>
        <w:t xml:space="preserve"/>
      </w:r>
    </w:p>
    <w:p>
      <w:pPr>
        <w:spacing w:after="120"/>
        <w:jc w:val="center"/>
      </w:pPr>
      <w:r>
        <w:rPr>
          <w:rFonts w:ascii="Georgia" w:cs="Georgia" w:eastAsia="Georgia" w:hAnsi="Georgia"/>
          <w:b/>
          <w:bCs/>
          <w:color w:val="1F3864"/>
          <w:sz w:val="34"/>
          <w:szCs w:val="34"/>
        </w:rPr>
        <w:t xml:space="preserve">RESIL-BORGOU</w:t>
      </w:r>
    </w:p>
    <w:p>
      <w:pPr>
        <w:spacing w:after="120"/>
        <w:jc w:val="center"/>
      </w:pPr>
      <w:r>
        <w:rPr>
          <w:rFonts w:ascii="Georgia" w:cs="Georgia" w:eastAsia="Georgia" w:hAnsi="Georgia"/>
          <w:b/>
          <w:bCs/>
          <w:color w:val="000000"/>
          <w:sz w:val="22"/>
          <w:szCs w:val="22"/>
        </w:rPr>
        <w:t xml:space="preserve">Programme de résilience communautaire et d'assistance humanitaire</w:t>
      </w:r>
    </w:p>
    <w:p>
      <w:pPr>
        <w:spacing w:after="120"/>
        <w:jc w:val="center"/>
      </w:pPr>
      <w:r>
        <w:rPr>
          <w:rFonts w:ascii="Georgia" w:cs="Georgia" w:eastAsia="Georgia" w:hAnsi="Georgia"/>
          <w:color w:val="000000"/>
          <w:sz w:val="24"/>
          <w:szCs w:val="24"/>
        </w:rPr>
        <w:t xml:space="preserve"/>
      </w:r>
    </w:p>
    <w:p>
      <w:pPr>
        <w:spacing w:after="120"/>
        <w:jc w:val="center"/>
      </w:pPr>
      <w:r>
        <w:rPr>
          <w:rFonts w:ascii="Georgia" w:cs="Georgia" w:eastAsia="Georgia" w:hAnsi="Georgia"/>
          <w:b/>
          <w:bCs/>
          <w:color w:val="B8860B"/>
          <w:sz w:val="20"/>
          <w:szCs w:val="20"/>
        </w:rPr>
        <w:t xml:space="preserve">MISSION MONDIALE POUR LE DÉVELOPPEMENT INTÉGRAL (MMDI)</w:t>
      </w:r>
    </w:p>
    <w:tbl>
      <w:tblPr>
        <w:tblW w:type="pct" w:w="100%"/>
        <w:tblBorders>
          <w:top w:val="single" w:color="DDD6C4" w:sz="4"/>
          <w:left w:val="single" w:color="DDD6C4" w:sz="4"/>
          <w:bottom w:val="single" w:color="DDD6C4" w:sz="4"/>
          <w:right w:val="single" w:color="DDD6C4" w:sz="4"/>
          <w:insideH w:val="single" w:color="DDD6C4" w:sz="4"/>
          <w:insideV w:val="single" w:color="DDD6C4" w:sz="4"/>
        </w:tblBorders>
      </w:tblPr>
      <w:tblGrid>
        <w:gridCol w:w="100"/>
        <w:gridCol w:w="100"/>
      </w:tblGrid>
      <w:tr>
        <w:tc>
          <w:tcPr>
            <w:tcW w:type="pct" w:w="30%"/>
            <w:shd w:fill="F7F4EC" w:val="clear"/>
            <w:tcMar>
              <w:top w:type="dxa" w:w="100"/>
              <w:left w:type="dxa" w:w="150"/>
              <w:bottom w:type="dxa" w:w="100"/>
              <w:right w:type="dxa" w:w="100"/>
            </w:tcMar>
          </w:tcPr>
          <w:p>
            <w:r>
              <w:rPr>
                <w:rFonts w:ascii="Georgia" w:cs="Georgia" w:eastAsia="Georgia" w:hAnsi="Georgia"/>
                <w:b/>
                <w:bCs/>
                <w:color w:val="1F3864"/>
                <w:sz w:val="19"/>
                <w:szCs w:val="19"/>
              </w:rPr>
              <w:t xml:space="preserve">Axe statutaire</w:t>
            </w:r>
          </w:p>
        </w:tc>
        <w:tc>
          <w:tcPr>
            <w:tcW w:type="pct" w:w="70%"/>
            <w:tcMar>
              <w:top w:type="dxa" w:w="100"/>
              <w:left w:type="dxa" w:w="150"/>
              <w:bottom w:type="dxa" w:w="100"/>
              <w:right w:type="dxa" w:w="100"/>
            </w:tcMar>
          </w:tcPr>
          <w:p>
            <w:r>
              <w:rPr>
                <w:rFonts w:ascii="Georgia" w:cs="Georgia" w:eastAsia="Georgia" w:hAnsi="Georgia"/>
                <w:sz w:val="19"/>
                <w:szCs w:val="19"/>
              </w:rPr>
              <w:t xml:space="preserve">Développement communautaire et action humanitaire</w:t>
            </w:r>
          </w:p>
        </w:tc>
      </w:tr>
      <w:tr>
        <w:tc>
          <w:tcPr>
            <w:tcW w:type="pct" w:w="30%"/>
            <w:shd w:fill="F7F4EC" w:val="clear"/>
            <w:tcMar>
              <w:top w:type="dxa" w:w="100"/>
              <w:left w:type="dxa" w:w="150"/>
              <w:bottom w:type="dxa" w:w="100"/>
              <w:right w:type="dxa" w:w="100"/>
            </w:tcMar>
          </w:tcPr>
          <w:p>
            <w:r>
              <w:rPr>
                <w:rFonts w:ascii="Georgia" w:cs="Georgia" w:eastAsia="Georgia" w:hAnsi="Georgia"/>
                <w:b/>
                <w:bCs/>
                <w:color w:val="1F3864"/>
                <w:sz w:val="19"/>
                <w:szCs w:val="19"/>
              </w:rPr>
              <w:t xml:space="preserve">Zone géographique</w:t>
            </w:r>
          </w:p>
        </w:tc>
        <w:tc>
          <w:tcPr>
            <w:tcW w:type="pct" w:w="70%"/>
            <w:tcMar>
              <w:top w:type="dxa" w:w="100"/>
              <w:left w:type="dxa" w:w="150"/>
              <w:bottom w:type="dxa" w:w="100"/>
              <w:right w:type="dxa" w:w="100"/>
            </w:tcMar>
          </w:tcPr>
          <w:p>
            <w:r>
              <w:rPr>
                <w:rFonts w:ascii="Georgia" w:cs="Georgia" w:eastAsia="Georgia" w:hAnsi="Georgia"/>
                <w:sz w:val="19"/>
                <w:szCs w:val="19"/>
              </w:rPr>
              <w:t xml:space="preserve">Département du Borgou (communes pilotes à confirmer, dont Parakou)</w:t>
            </w:r>
          </w:p>
        </w:tc>
      </w:tr>
      <w:tr>
        <w:tc>
          <w:tcPr>
            <w:tcW w:type="pct" w:w="30%"/>
            <w:shd w:fill="F7F4EC" w:val="clear"/>
            <w:tcMar>
              <w:top w:type="dxa" w:w="100"/>
              <w:left w:type="dxa" w:w="150"/>
              <w:bottom w:type="dxa" w:w="100"/>
              <w:right w:type="dxa" w:w="100"/>
            </w:tcMar>
          </w:tcPr>
          <w:p>
            <w:r>
              <w:rPr>
                <w:rFonts w:ascii="Georgia" w:cs="Georgia" w:eastAsia="Georgia" w:hAnsi="Georgia"/>
                <w:b/>
                <w:bCs/>
                <w:color w:val="1F3864"/>
                <w:sz w:val="19"/>
                <w:szCs w:val="19"/>
              </w:rPr>
              <w:t xml:space="preserve">Bénéficiaires ciblés</w:t>
            </w:r>
          </w:p>
        </w:tc>
        <w:tc>
          <w:tcPr>
            <w:tcW w:type="pct" w:w="70%"/>
            <w:tcMar>
              <w:top w:type="dxa" w:w="100"/>
              <w:left w:type="dxa" w:w="150"/>
              <w:bottom w:type="dxa" w:w="100"/>
              <w:right w:type="dxa" w:w="100"/>
            </w:tcMar>
          </w:tcPr>
          <w:p>
            <w:r>
              <w:rPr>
                <w:rFonts w:ascii="Georgia" w:cs="Georgia" w:eastAsia="Georgia" w:hAnsi="Georgia"/>
                <w:sz w:val="19"/>
                <w:szCs w:val="19"/>
              </w:rPr>
              <w:t xml:space="preserve">500 ménages vulnérables (≈ 3 000 personnes) — cible à ajuster selon le diagnostic</w:t>
            </w:r>
          </w:p>
        </w:tc>
      </w:tr>
      <w:tr>
        <w:tc>
          <w:tcPr>
            <w:tcW w:type="pct" w:w="30%"/>
            <w:shd w:fill="F7F4EC" w:val="clear"/>
            <w:tcMar>
              <w:top w:type="dxa" w:w="100"/>
              <w:left w:type="dxa" w:w="150"/>
              <w:bottom w:type="dxa" w:w="100"/>
              <w:right w:type="dxa" w:w="100"/>
            </w:tcMar>
          </w:tcPr>
          <w:p>
            <w:r>
              <w:rPr>
                <w:rFonts w:ascii="Georgia" w:cs="Georgia" w:eastAsia="Georgia" w:hAnsi="Georgia"/>
                <w:b/>
                <w:bCs/>
                <w:color w:val="1F3864"/>
                <w:sz w:val="19"/>
                <w:szCs w:val="19"/>
              </w:rPr>
              <w:t xml:space="preserve">Durée envisagée</w:t>
            </w:r>
          </w:p>
        </w:tc>
        <w:tc>
          <w:tcPr>
            <w:tcW w:type="pct" w:w="70%"/>
            <w:tcMar>
              <w:top w:type="dxa" w:w="100"/>
              <w:left w:type="dxa" w:w="150"/>
              <w:bottom w:type="dxa" w:w="100"/>
              <w:right w:type="dxa" w:w="100"/>
            </w:tcMar>
          </w:tcPr>
          <w:p>
            <w:r>
              <w:rPr>
                <w:rFonts w:ascii="Georgia" w:cs="Georgia" w:eastAsia="Georgia" w:hAnsi="Georgia"/>
                <w:sz w:val="19"/>
                <w:szCs w:val="19"/>
              </w:rPr>
              <w:t xml:space="preserve">18 mois</w:t>
            </w:r>
          </w:p>
        </w:tc>
      </w:tr>
      <w:tr>
        <w:tc>
          <w:tcPr>
            <w:tcW w:type="pct" w:w="30%"/>
            <w:shd w:fill="F7F4EC" w:val="clear"/>
            <w:tcMar>
              <w:top w:type="dxa" w:w="100"/>
              <w:left w:type="dxa" w:w="150"/>
              <w:bottom w:type="dxa" w:w="100"/>
              <w:right w:type="dxa" w:w="100"/>
            </w:tcMar>
          </w:tcPr>
          <w:p>
            <w:r>
              <w:rPr>
                <w:rFonts w:ascii="Georgia" w:cs="Georgia" w:eastAsia="Georgia" w:hAnsi="Georgia"/>
                <w:b/>
                <w:bCs/>
                <w:color w:val="1F3864"/>
                <w:sz w:val="19"/>
                <w:szCs w:val="19"/>
              </w:rPr>
              <w:t xml:space="preserve">Budget indicatif</w:t>
            </w:r>
          </w:p>
        </w:tc>
        <w:tc>
          <w:tcPr>
            <w:tcW w:type="pct" w:w="70%"/>
            <w:tcMar>
              <w:top w:type="dxa" w:w="100"/>
              <w:left w:type="dxa" w:w="150"/>
              <w:bottom w:type="dxa" w:w="100"/>
              <w:right w:type="dxa" w:w="100"/>
            </w:tcMar>
          </w:tcPr>
          <w:p>
            <w:r>
              <w:rPr>
                <w:rFonts w:ascii="Georgia" w:cs="Georgia" w:eastAsia="Georgia" w:hAnsi="Georgia"/>
                <w:sz w:val="19"/>
                <w:szCs w:val="19"/>
              </w:rPr>
              <w:t xml:space="preserve">31 500 000 FCFA (à valider — voir détail en fin de fiche)</w:t>
            </w:r>
          </w:p>
        </w:tc>
      </w:tr>
    </w:tbl>
    <w:p>
      <w:pPr>
        <w:pStyle w:val="Heading1"/>
        <w:pBdr>
          <w:bottom w:val="single" w:color="1F3864" w:sz="8" w:space="4"/>
        </w:pBdr>
        <w:spacing w:after="140" w:before="340"/>
      </w:pPr>
      <w:r>
        <w:rPr>
          <w:rFonts w:ascii="Georgia" w:cs="Georgia" w:eastAsia="Georgia" w:hAnsi="Georgia"/>
          <w:b/>
          <w:bCs/>
          <w:color w:val="1F3864"/>
          <w:sz w:val="25"/>
          <w:szCs w:val="25"/>
        </w:rPr>
        <w:t xml:space="preserve">Contexte et justification</w:t>
      </w:r>
    </w:p>
    <w:p>
      <w:pPr>
        <w:spacing w:after="130" w:line="300"/>
        <w:jc w:val="both"/>
      </w:pPr>
      <w:r>
        <w:rPr>
          <w:rFonts w:ascii="Georgia" w:cs="Georgia" w:eastAsia="Georgia" w:hAnsi="Georgia"/>
          <w:sz w:val="21"/>
          <w:szCs w:val="21"/>
        </w:rPr>
        <w:t xml:space="preserve">Le département du Borgou, comme plusieurs régions du Bénin, voit ses communautés rurales exposées à des chocs récurrents : aléas climatiques affectant les récoltes, précarité économique des ménages et insuffisance des mécanismes locaux de solidarité organisée. Ces vulnérabilités, si elles ne sont pas accompagnées, fragilisent durablement la cohésion sociale et la capacité des communautés à se relever après un choc.</w:t>
      </w:r>
    </w:p>
    <w:p>
      <w:pPr>
        <w:spacing w:after="130" w:line="300"/>
        <w:jc w:val="both"/>
      </w:pPr>
      <w:r>
        <w:rPr>
          <w:rFonts w:ascii="Georgia" w:cs="Georgia" w:eastAsia="Georgia" w:hAnsi="Georgia"/>
          <w:sz w:val="21"/>
          <w:szCs w:val="21"/>
        </w:rPr>
        <w:t xml:space="preserve">La MMDI souhaite y initier un programme pilote de résilience communautaire, combinant assistance humanitaire ciblée et renforcement des capacités locales d'entraide, conformément à son objet statutaire de développement intégral.</w:t>
      </w:r>
    </w:p>
    <w:p>
      <w:pPr>
        <w:pStyle w:val="Heading1"/>
        <w:pBdr>
          <w:bottom w:val="single" w:color="1F3864" w:sz="8" w:space="4"/>
        </w:pBdr>
        <w:spacing w:after="140" w:before="340"/>
      </w:pPr>
      <w:r>
        <w:rPr>
          <w:rFonts w:ascii="Georgia" w:cs="Georgia" w:eastAsia="Georgia" w:hAnsi="Georgia"/>
          <w:b/>
          <w:bCs/>
          <w:color w:val="1F3864"/>
          <w:sz w:val="25"/>
          <w:szCs w:val="25"/>
        </w:rPr>
        <w:t xml:space="preserve">Objectif général</w:t>
      </w:r>
    </w:p>
    <w:p>
      <w:pPr>
        <w:spacing w:after="130" w:line="300"/>
        <w:jc w:val="both"/>
      </w:pPr>
      <w:r>
        <w:rPr>
          <w:rFonts w:ascii="Georgia" w:cs="Georgia" w:eastAsia="Georgia" w:hAnsi="Georgia"/>
          <w:sz w:val="21"/>
          <w:szCs w:val="21"/>
        </w:rPr>
        <w:t xml:space="preserve">Renforcer la résilience des communautés vulnérables du Borgou face aux chocs économiques, sociaux et climatiques.</w:t>
      </w:r>
    </w:p>
    <w:p>
      <w:pPr>
        <w:pStyle w:val="Heading1"/>
        <w:pBdr>
          <w:bottom w:val="single" w:color="1F3864" w:sz="8" w:space="4"/>
        </w:pBdr>
        <w:spacing w:after="140" w:before="340"/>
      </w:pPr>
      <w:r>
        <w:rPr>
          <w:rFonts w:ascii="Georgia" w:cs="Georgia" w:eastAsia="Georgia" w:hAnsi="Georgia"/>
          <w:b/>
          <w:bCs/>
          <w:color w:val="1F3864"/>
          <w:sz w:val="25"/>
          <w:szCs w:val="25"/>
        </w:rPr>
        <w:t xml:space="preserve">Objectifs spécifiques</w:t>
      </w:r>
    </w:p>
    <w:p>
      <w:pPr>
        <w:pStyle w:val="ListParagraph"/>
        <w:numPr>
          <w:ilvl w:val="0"/>
          <w:numId w:val="1"/>
        </w:numPr>
        <w:spacing w:after="70"/>
      </w:pPr>
      <w:r>
        <w:rPr>
          <w:rFonts w:ascii="Georgia" w:cs="Georgia" w:eastAsia="Georgia" w:hAnsi="Georgia"/>
          <w:sz w:val="21"/>
          <w:szCs w:val="21"/>
        </w:rPr>
        <w:t xml:space="preserve">Identifier et cartographier, de façon participative, les ménages et communautés les plus vulnérables des zones d'intervention ;</w:t>
      </w:r>
    </w:p>
    <w:p>
      <w:pPr>
        <w:pStyle w:val="ListParagraph"/>
        <w:numPr>
          <w:ilvl w:val="0"/>
          <w:numId w:val="1"/>
        </w:numPr>
        <w:spacing w:after="70"/>
      </w:pPr>
      <w:r>
        <w:rPr>
          <w:rFonts w:ascii="Georgia" w:cs="Georgia" w:eastAsia="Georgia" w:hAnsi="Georgia"/>
          <w:sz w:val="21"/>
          <w:szCs w:val="21"/>
        </w:rPr>
        <w:t xml:space="preserve">Apporter une assistance humanitaire ciblée (kits de première nécessité, appui alimentaire ponctuel) aux ménages les plus exposés ;</w:t>
      </w:r>
    </w:p>
    <w:p>
      <w:pPr>
        <w:pStyle w:val="ListParagraph"/>
        <w:numPr>
          <w:ilvl w:val="0"/>
          <w:numId w:val="1"/>
        </w:numPr>
        <w:spacing w:after="70"/>
      </w:pPr>
      <w:r>
        <w:rPr>
          <w:rFonts w:ascii="Georgia" w:cs="Georgia" w:eastAsia="Georgia" w:hAnsi="Georgia"/>
          <w:sz w:val="21"/>
          <w:szCs w:val="21"/>
        </w:rPr>
        <w:t xml:space="preserve">Appuyer la mise en place d'activités génératrices de revenus communautaires pour réduire la dépendance à l'aide ponctuelle ;</w:t>
      </w:r>
    </w:p>
    <w:p>
      <w:pPr>
        <w:pStyle w:val="ListParagraph"/>
        <w:numPr>
          <w:ilvl w:val="0"/>
          <w:numId w:val="1"/>
        </w:numPr>
        <w:spacing w:after="70"/>
      </w:pPr>
      <w:r>
        <w:rPr>
          <w:rFonts w:ascii="Georgia" w:cs="Georgia" w:eastAsia="Georgia" w:hAnsi="Georgia"/>
          <w:sz w:val="21"/>
          <w:szCs w:val="21"/>
        </w:rPr>
        <w:t xml:space="preserve">Former des comités locaux de veille et de solidarité, relais durables de la MMDI sur le terrain.</w:t>
      </w:r>
    </w:p>
    <w:p>
      <w:pPr>
        <w:pStyle w:val="Heading1"/>
        <w:pBdr>
          <w:bottom w:val="single" w:color="1F3864" w:sz="8" w:space="4"/>
        </w:pBdr>
        <w:spacing w:after="140" w:before="340"/>
      </w:pPr>
      <w:r>
        <w:rPr>
          <w:rFonts w:ascii="Georgia" w:cs="Georgia" w:eastAsia="Georgia" w:hAnsi="Georgia"/>
          <w:b/>
          <w:bCs/>
          <w:color w:val="1F3864"/>
          <w:sz w:val="25"/>
          <w:szCs w:val="25"/>
        </w:rPr>
        <w:t xml:space="preserve">Activités principales</w:t>
      </w:r>
    </w:p>
    <w:p>
      <w:pPr>
        <w:pStyle w:val="ListParagraph"/>
        <w:numPr>
          <w:ilvl w:val="0"/>
          <w:numId w:val="1"/>
        </w:numPr>
        <w:spacing w:after="70"/>
      </w:pPr>
      <w:r>
        <w:rPr>
          <w:rFonts w:ascii="Georgia" w:cs="Georgia" w:eastAsia="Georgia" w:hAnsi="Georgia"/>
          <w:sz w:val="21"/>
          <w:szCs w:val="21"/>
        </w:rPr>
        <w:t xml:space="preserve">Diagnostic participatif des vulnérabilités communautaires dans les communes pilotes ;</w:t>
      </w:r>
    </w:p>
    <w:p>
      <w:pPr>
        <w:pStyle w:val="ListParagraph"/>
        <w:numPr>
          <w:ilvl w:val="0"/>
          <w:numId w:val="1"/>
        </w:numPr>
        <w:spacing w:after="70"/>
      </w:pPr>
      <w:r>
        <w:rPr>
          <w:rFonts w:ascii="Georgia" w:cs="Georgia" w:eastAsia="Georgia" w:hAnsi="Georgia"/>
          <w:sz w:val="21"/>
          <w:szCs w:val="21"/>
        </w:rPr>
        <w:t xml:space="preserve">Distribution d'une assistance humanitaire ciblée aux ménages identifiés comme prioritaires ;</w:t>
      </w:r>
    </w:p>
    <w:p>
      <w:pPr>
        <w:pStyle w:val="ListParagraph"/>
        <w:numPr>
          <w:ilvl w:val="0"/>
          <w:numId w:val="1"/>
        </w:numPr>
        <w:spacing w:after="70"/>
      </w:pPr>
      <w:r>
        <w:rPr>
          <w:rFonts w:ascii="Georgia" w:cs="Georgia" w:eastAsia="Georgia" w:hAnsi="Georgia"/>
          <w:sz w:val="21"/>
          <w:szCs w:val="21"/>
        </w:rPr>
        <w:t xml:space="preserve">Appui technique et matériel à des activités génératrices de revenus portées par des groupements communautaires ;</w:t>
      </w:r>
    </w:p>
    <w:p>
      <w:pPr>
        <w:pStyle w:val="ListParagraph"/>
        <w:numPr>
          <w:ilvl w:val="0"/>
          <w:numId w:val="1"/>
        </w:numPr>
        <w:spacing w:after="70"/>
      </w:pPr>
      <w:r>
        <w:rPr>
          <w:rFonts w:ascii="Georgia" w:cs="Georgia" w:eastAsia="Georgia" w:hAnsi="Georgia"/>
          <w:sz w:val="21"/>
          <w:szCs w:val="21"/>
        </w:rPr>
        <w:t xml:space="preserve">Mise en place et formation de comités locaux de veille sociale et de solidarité ;</w:t>
      </w:r>
    </w:p>
    <w:p>
      <w:pPr>
        <w:pStyle w:val="ListParagraph"/>
        <w:numPr>
          <w:ilvl w:val="0"/>
          <w:numId w:val="1"/>
        </w:numPr>
        <w:spacing w:after="70"/>
      </w:pPr>
      <w:r>
        <w:rPr>
          <w:rFonts w:ascii="Georgia" w:cs="Georgia" w:eastAsia="Georgia" w:hAnsi="Georgia"/>
          <w:sz w:val="21"/>
          <w:szCs w:val="21"/>
        </w:rPr>
        <w:t xml:space="preserve">Suivi-évaluation participatif et capitalisation des résultats.</w:t>
      </w:r>
    </w:p>
    <w:p>
      <w:pPr>
        <w:pStyle w:val="Heading1"/>
        <w:pBdr>
          <w:bottom w:val="single" w:color="1F3864" w:sz="8" w:space="4"/>
        </w:pBdr>
        <w:spacing w:after="140" w:before="340"/>
      </w:pPr>
      <w:r>
        <w:rPr>
          <w:rFonts w:ascii="Georgia" w:cs="Georgia" w:eastAsia="Georgia" w:hAnsi="Georgia"/>
          <w:b/>
          <w:bCs/>
          <w:color w:val="1F3864"/>
          <w:sz w:val="25"/>
          <w:szCs w:val="25"/>
        </w:rPr>
        <w:t xml:space="preserve">Résultats attendus</w:t>
      </w:r>
    </w:p>
    <w:p>
      <w:pPr>
        <w:pStyle w:val="ListParagraph"/>
        <w:numPr>
          <w:ilvl w:val="0"/>
          <w:numId w:val="1"/>
        </w:numPr>
        <w:spacing w:after="70"/>
      </w:pPr>
      <w:r>
        <w:rPr>
          <w:rFonts w:ascii="Georgia" w:cs="Georgia" w:eastAsia="Georgia" w:hAnsi="Georgia"/>
          <w:sz w:val="21"/>
          <w:szCs w:val="21"/>
        </w:rPr>
        <w:t xml:space="preserve">Les ménages les plus vulnérables des zones pilotes ont reçu une assistance adaptée à leurs besoins ;</w:t>
      </w:r>
    </w:p>
    <w:p>
      <w:pPr>
        <w:pStyle w:val="ListParagraph"/>
        <w:numPr>
          <w:ilvl w:val="0"/>
          <w:numId w:val="1"/>
        </w:numPr>
        <w:spacing w:after="70"/>
      </w:pPr>
      <w:r>
        <w:rPr>
          <w:rFonts w:ascii="Georgia" w:cs="Georgia" w:eastAsia="Georgia" w:hAnsi="Georgia"/>
          <w:sz w:val="21"/>
          <w:szCs w:val="21"/>
        </w:rPr>
        <w:t xml:space="preserve">Des activités génératrices de revenus communautaires sont opérationnelles et suivies ;</w:t>
      </w:r>
    </w:p>
    <w:p>
      <w:pPr>
        <w:pStyle w:val="ListParagraph"/>
        <w:numPr>
          <w:ilvl w:val="0"/>
          <w:numId w:val="1"/>
        </w:numPr>
        <w:spacing w:after="70"/>
      </w:pPr>
      <w:r>
        <w:rPr>
          <w:rFonts w:ascii="Georgia" w:cs="Georgia" w:eastAsia="Georgia" w:hAnsi="Georgia"/>
          <w:sz w:val="21"/>
          <w:szCs w:val="21"/>
        </w:rPr>
        <w:t xml:space="preserve">Des comités locaux de veille sociale sont fonctionnels et reconnus par les communautés ;</w:t>
      </w:r>
    </w:p>
    <w:p>
      <w:pPr>
        <w:pStyle w:val="ListParagraph"/>
        <w:numPr>
          <w:ilvl w:val="0"/>
          <w:numId w:val="1"/>
        </w:numPr>
        <w:spacing w:after="70"/>
      </w:pPr>
      <w:r>
        <w:rPr>
          <w:rFonts w:ascii="Georgia" w:cs="Georgia" w:eastAsia="Georgia" w:hAnsi="Georgia"/>
          <w:sz w:val="21"/>
          <w:szCs w:val="21"/>
        </w:rPr>
        <w:t xml:space="preserve">Une base de données des vulnérabilités communautaires est disponible pour orienter les interventions futures de la MMDI.</w:t>
      </w:r>
    </w:p>
    <w:p>
      <w:pPr>
        <w:pStyle w:val="Heading1"/>
        <w:pBdr>
          <w:bottom w:val="single" w:color="1F3864" w:sz="8" w:space="4"/>
        </w:pBdr>
        <w:spacing w:after="140" w:before="340"/>
      </w:pPr>
      <w:r>
        <w:rPr>
          <w:rFonts w:ascii="Georgia" w:cs="Georgia" w:eastAsia="Georgia" w:hAnsi="Georgia"/>
          <w:b/>
          <w:bCs/>
          <w:color w:val="1F3864"/>
          <w:sz w:val="25"/>
          <w:szCs w:val="25"/>
        </w:rPr>
        <w:t xml:space="preserve">Budget indicatif</w:t>
      </w:r>
    </w:p>
    <w:p>
      <w:pPr>
        <w:spacing w:after="130" w:line="280"/>
      </w:pPr>
      <w:r>
        <w:rPr>
          <w:rFonts w:ascii="Georgia" w:cs="Georgia" w:eastAsia="Georgia" w:hAnsi="Georgia"/>
          <w:i/>
          <w:iCs/>
          <w:color w:val="555555"/>
          <w:sz w:val="18"/>
          <w:szCs w:val="18"/>
        </w:rPr>
        <w:t xml:space="preserve">Ce budget est une estimation de cadrage destinée à orienter les discussions avec les bailleurs ; il sera affiné après le diagnostic participatif initial.</w:t>
      </w:r>
    </w:p>
    <w:tbl>
      <w:tblPr>
        <w:tblW w:type="pct" w:w="100%"/>
        <w:tblBorders>
          <w:top w:val="single" w:color="DDD6C4" w:sz="4"/>
          <w:left w:val="single" w:color="DDD6C4" w:sz="4"/>
          <w:bottom w:val="single" w:color="DDD6C4" w:sz="4"/>
          <w:right w:val="single" w:color="DDD6C4" w:sz="4"/>
          <w:insideH w:val="single" w:color="DDD6C4" w:sz="4"/>
          <w:insideV w:val="single" w:color="DDD6C4" w:sz="4"/>
        </w:tblBorders>
      </w:tblPr>
      <w:tblGrid>
        <w:gridCol w:w="100"/>
        <w:gridCol w:w="100"/>
        <w:gridCol w:w="100"/>
      </w:tblGrid>
      <w:tr>
        <w:tc>
          <w:tcPr>
            <w:shd w:fill="1F3864" w:val="clear"/>
            <w:tcMar>
              <w:top w:type="dxa" w:w="90"/>
              <w:left w:type="dxa" w:w="120"/>
              <w:bottom w:type="dxa" w:w="90"/>
              <w:right w:type="dxa" w:w="120"/>
            </w:tcMar>
          </w:tcPr>
          <w:p>
            <w:r>
              <w:rPr>
                <w:rFonts w:ascii="Georgia" w:cs="Georgia" w:eastAsia="Georgia" w:hAnsi="Georgia"/>
                <w:b/>
                <w:bCs/>
                <w:color w:val="FFFFFF"/>
                <w:sz w:val="18"/>
                <w:szCs w:val="18"/>
              </w:rPr>
              <w:t xml:space="preserve">Poste budgétaire</w:t>
            </w:r>
          </w:p>
        </w:tc>
        <w:tc>
          <w:tcPr>
            <w:shd w:fill="1F3864" w:val="clear"/>
            <w:tcMar>
              <w:top w:type="dxa" w:w="90"/>
              <w:left w:type="dxa" w:w="120"/>
              <w:bottom w:type="dxa" w:w="90"/>
              <w:right w:type="dxa" w:w="120"/>
            </w:tcMar>
          </w:tcPr>
          <w:p>
            <w:r>
              <w:rPr>
                <w:rFonts w:ascii="Georgia" w:cs="Georgia" w:eastAsia="Georgia" w:hAnsi="Georgia"/>
                <w:b/>
                <w:bCs/>
                <w:color w:val="FFFFFF"/>
                <w:sz w:val="18"/>
                <w:szCs w:val="18"/>
              </w:rPr>
              <w:t xml:space="preserve">Description</w:t>
            </w:r>
          </w:p>
        </w:tc>
        <w:tc>
          <w:tcPr>
            <w:shd w:fill="1F3864" w:val="clear"/>
            <w:tcMar>
              <w:top w:type="dxa" w:w="90"/>
              <w:left w:type="dxa" w:w="120"/>
              <w:bottom w:type="dxa" w:w="90"/>
              <w:right w:type="dxa" w:w="120"/>
            </w:tcMar>
          </w:tcPr>
          <w:p>
            <w:r>
              <w:rPr>
                <w:rFonts w:ascii="Georgia" w:cs="Georgia" w:eastAsia="Georgia" w:hAnsi="Georgia"/>
                <w:b/>
                <w:bCs/>
                <w:color w:val="FFFFFF"/>
                <w:sz w:val="18"/>
                <w:szCs w:val="18"/>
              </w:rPr>
              <w:t xml:space="preserve">Montant indicatif (FCFA)</w:t>
            </w:r>
          </w:p>
        </w:tc>
      </w:tr>
      <w:tr>
        <w:tc>
          <w:tcPr>
            <w:tcMar>
              <w:top w:type="dxa" w:w="80"/>
              <w:left w:type="dxa" w:w="120"/>
              <w:bottom w:type="dxa" w:w="80"/>
              <w:right w:type="dxa" w:w="120"/>
            </w:tcMar>
          </w:tcPr>
          <w:p>
            <w:pPr>
              <w:jc w:val="left"/>
            </w:pPr>
            <w:r>
              <w:rPr>
                <w:rFonts w:ascii="Georgia" w:cs="Georgia" w:eastAsia="Georgia" w:hAnsi="Georgia"/>
                <w:sz w:val="18"/>
                <w:szCs w:val="18"/>
              </w:rPr>
              <w:t xml:space="preserve">Diagnostic participatif</w:t>
            </w:r>
          </w:p>
        </w:tc>
        <w:tc>
          <w:tcPr>
            <w:tcMar>
              <w:top w:type="dxa" w:w="80"/>
              <w:left w:type="dxa" w:w="120"/>
              <w:bottom w:type="dxa" w:w="80"/>
              <w:right w:type="dxa" w:w="120"/>
            </w:tcMar>
          </w:tcPr>
          <w:p>
            <w:pPr>
              <w:jc w:val="left"/>
            </w:pPr>
            <w:r>
              <w:rPr>
                <w:rFonts w:ascii="Georgia" w:cs="Georgia" w:eastAsia="Georgia" w:hAnsi="Georgia"/>
                <w:sz w:val="18"/>
                <w:szCs w:val="18"/>
              </w:rPr>
              <w:t xml:space="preserve">Collecte de données, animateurs communautaires, déplacements</w:t>
            </w:r>
          </w:p>
        </w:tc>
        <w:tc>
          <w:tcPr>
            <w:tcMar>
              <w:top w:type="dxa" w:w="80"/>
              <w:left w:type="dxa" w:w="120"/>
              <w:bottom w:type="dxa" w:w="80"/>
              <w:right w:type="dxa" w:w="120"/>
            </w:tcMar>
          </w:tcPr>
          <w:p>
            <w:pPr>
              <w:jc w:val="right"/>
            </w:pPr>
            <w:r>
              <w:rPr>
                <w:rFonts w:ascii="Georgia" w:cs="Georgia" w:eastAsia="Georgia" w:hAnsi="Georgia"/>
                <w:sz w:val="18"/>
                <w:szCs w:val="18"/>
              </w:rPr>
              <w:t xml:space="preserve">3 500 000</w:t>
            </w:r>
          </w:p>
        </w:tc>
      </w:tr>
      <w:tr>
        <w:tc>
          <w:tcPr>
            <w:tcMar>
              <w:top w:type="dxa" w:w="80"/>
              <w:left w:type="dxa" w:w="120"/>
              <w:bottom w:type="dxa" w:w="80"/>
              <w:right w:type="dxa" w:w="120"/>
            </w:tcMar>
          </w:tcPr>
          <w:p>
            <w:pPr>
              <w:jc w:val="left"/>
            </w:pPr>
            <w:r>
              <w:rPr>
                <w:rFonts w:ascii="Georgia" w:cs="Georgia" w:eastAsia="Georgia" w:hAnsi="Georgia"/>
                <w:sz w:val="18"/>
                <w:szCs w:val="18"/>
              </w:rPr>
              <w:t xml:space="preserve">Assistance humanitaire directe</w:t>
            </w:r>
          </w:p>
        </w:tc>
        <w:tc>
          <w:tcPr>
            <w:tcMar>
              <w:top w:type="dxa" w:w="80"/>
              <w:left w:type="dxa" w:w="120"/>
              <w:bottom w:type="dxa" w:w="80"/>
              <w:right w:type="dxa" w:w="120"/>
            </w:tcMar>
          </w:tcPr>
          <w:p>
            <w:pPr>
              <w:jc w:val="left"/>
            </w:pPr>
            <w:r>
              <w:rPr>
                <w:rFonts w:ascii="Georgia" w:cs="Georgia" w:eastAsia="Georgia" w:hAnsi="Georgia"/>
                <w:sz w:val="18"/>
                <w:szCs w:val="18"/>
              </w:rPr>
              <w:t xml:space="preserve">Kits et appuis ciblés pour 500 ménages</w:t>
            </w:r>
          </w:p>
        </w:tc>
        <w:tc>
          <w:tcPr>
            <w:tcMar>
              <w:top w:type="dxa" w:w="80"/>
              <w:left w:type="dxa" w:w="120"/>
              <w:bottom w:type="dxa" w:w="80"/>
              <w:right w:type="dxa" w:w="120"/>
            </w:tcMar>
          </w:tcPr>
          <w:p>
            <w:pPr>
              <w:jc w:val="right"/>
            </w:pPr>
            <w:r>
              <w:rPr>
                <w:rFonts w:ascii="Georgia" w:cs="Georgia" w:eastAsia="Georgia" w:hAnsi="Georgia"/>
                <w:sz w:val="18"/>
                <w:szCs w:val="18"/>
              </w:rPr>
              <w:t xml:space="preserve">15 000 000</w:t>
            </w:r>
          </w:p>
        </w:tc>
      </w:tr>
      <w:tr>
        <w:tc>
          <w:tcPr>
            <w:tcMar>
              <w:top w:type="dxa" w:w="80"/>
              <w:left w:type="dxa" w:w="120"/>
              <w:bottom w:type="dxa" w:w="80"/>
              <w:right w:type="dxa" w:w="120"/>
            </w:tcMar>
          </w:tcPr>
          <w:p>
            <w:pPr>
              <w:jc w:val="left"/>
            </w:pPr>
            <w:r>
              <w:rPr>
                <w:rFonts w:ascii="Georgia" w:cs="Georgia" w:eastAsia="Georgia" w:hAnsi="Georgia"/>
                <w:sz w:val="18"/>
                <w:szCs w:val="18"/>
              </w:rPr>
              <w:t xml:space="preserve">Appui aux activités génératrices de revenus</w:t>
            </w:r>
          </w:p>
        </w:tc>
        <w:tc>
          <w:tcPr>
            <w:tcMar>
              <w:top w:type="dxa" w:w="80"/>
              <w:left w:type="dxa" w:w="120"/>
              <w:bottom w:type="dxa" w:w="80"/>
              <w:right w:type="dxa" w:w="120"/>
            </w:tcMar>
          </w:tcPr>
          <w:p>
            <w:pPr>
              <w:jc w:val="left"/>
            </w:pPr>
            <w:r>
              <w:rPr>
                <w:rFonts w:ascii="Georgia" w:cs="Georgia" w:eastAsia="Georgia" w:hAnsi="Georgia"/>
                <w:sz w:val="18"/>
                <w:szCs w:val="18"/>
              </w:rPr>
              <w:t xml:space="preserve">Matériel, intrants, accompagnement technique</w:t>
            </w:r>
          </w:p>
        </w:tc>
        <w:tc>
          <w:tcPr>
            <w:tcMar>
              <w:top w:type="dxa" w:w="80"/>
              <w:left w:type="dxa" w:w="120"/>
              <w:bottom w:type="dxa" w:w="80"/>
              <w:right w:type="dxa" w:w="120"/>
            </w:tcMar>
          </w:tcPr>
          <w:p>
            <w:pPr>
              <w:jc w:val="right"/>
            </w:pPr>
            <w:r>
              <w:rPr>
                <w:rFonts w:ascii="Georgia" w:cs="Georgia" w:eastAsia="Georgia" w:hAnsi="Georgia"/>
                <w:sz w:val="18"/>
                <w:szCs w:val="18"/>
              </w:rPr>
              <w:t xml:space="preserve">6 000 000</w:t>
            </w:r>
          </w:p>
        </w:tc>
      </w:tr>
      <w:tr>
        <w:tc>
          <w:tcPr>
            <w:tcMar>
              <w:top w:type="dxa" w:w="80"/>
              <w:left w:type="dxa" w:w="120"/>
              <w:bottom w:type="dxa" w:w="80"/>
              <w:right w:type="dxa" w:w="120"/>
            </w:tcMar>
          </w:tcPr>
          <w:p>
            <w:pPr>
              <w:jc w:val="left"/>
            </w:pPr>
            <w:r>
              <w:rPr>
                <w:rFonts w:ascii="Georgia" w:cs="Georgia" w:eastAsia="Georgia" w:hAnsi="Georgia"/>
                <w:sz w:val="18"/>
                <w:szCs w:val="18"/>
              </w:rPr>
              <w:t xml:space="preserve">Formation des comités locaux</w:t>
            </w:r>
          </w:p>
        </w:tc>
        <w:tc>
          <w:tcPr>
            <w:tcMar>
              <w:top w:type="dxa" w:w="80"/>
              <w:left w:type="dxa" w:w="120"/>
              <w:bottom w:type="dxa" w:w="80"/>
              <w:right w:type="dxa" w:w="120"/>
            </w:tcMar>
          </w:tcPr>
          <w:p>
            <w:pPr>
              <w:jc w:val="left"/>
            </w:pPr>
            <w:r>
              <w:rPr>
                <w:rFonts w:ascii="Georgia" w:cs="Georgia" w:eastAsia="Georgia" w:hAnsi="Georgia"/>
                <w:sz w:val="18"/>
                <w:szCs w:val="18"/>
              </w:rPr>
              <w:t xml:space="preserve">Ateliers, supports, indemnités de formateurs</w:t>
            </w:r>
          </w:p>
        </w:tc>
        <w:tc>
          <w:tcPr>
            <w:tcMar>
              <w:top w:type="dxa" w:w="80"/>
              <w:left w:type="dxa" w:w="120"/>
              <w:bottom w:type="dxa" w:w="80"/>
              <w:right w:type="dxa" w:w="120"/>
            </w:tcMar>
          </w:tcPr>
          <w:p>
            <w:pPr>
              <w:jc w:val="right"/>
            </w:pPr>
            <w:r>
              <w:rPr>
                <w:rFonts w:ascii="Georgia" w:cs="Georgia" w:eastAsia="Georgia" w:hAnsi="Georgia"/>
                <w:sz w:val="18"/>
                <w:szCs w:val="18"/>
              </w:rPr>
              <w:t xml:space="preserve">2 500 000</w:t>
            </w:r>
          </w:p>
        </w:tc>
      </w:tr>
      <w:tr>
        <w:tc>
          <w:tcPr>
            <w:tcMar>
              <w:top w:type="dxa" w:w="80"/>
              <w:left w:type="dxa" w:w="120"/>
              <w:bottom w:type="dxa" w:w="80"/>
              <w:right w:type="dxa" w:w="120"/>
            </w:tcMar>
          </w:tcPr>
          <w:p>
            <w:pPr>
              <w:jc w:val="left"/>
            </w:pPr>
            <w:r>
              <w:rPr>
                <w:rFonts w:ascii="Georgia" w:cs="Georgia" w:eastAsia="Georgia" w:hAnsi="Georgia"/>
                <w:sz w:val="18"/>
                <w:szCs w:val="18"/>
              </w:rPr>
              <w:t xml:space="preserve">Suivi-évaluation et capitalisation</w:t>
            </w:r>
          </w:p>
        </w:tc>
        <w:tc>
          <w:tcPr>
            <w:tcMar>
              <w:top w:type="dxa" w:w="80"/>
              <w:left w:type="dxa" w:w="120"/>
              <w:bottom w:type="dxa" w:w="80"/>
              <w:right w:type="dxa" w:w="120"/>
            </w:tcMar>
          </w:tcPr>
          <w:p>
            <w:pPr>
              <w:jc w:val="left"/>
            </w:pPr>
            <w:r>
              <w:rPr>
                <w:rFonts w:ascii="Georgia" w:cs="Georgia" w:eastAsia="Georgia" w:hAnsi="Georgia"/>
                <w:sz w:val="18"/>
                <w:szCs w:val="18"/>
              </w:rPr>
              <w:t xml:space="preserve">Missions de suivi, rapport final</w:t>
            </w:r>
          </w:p>
        </w:tc>
        <w:tc>
          <w:tcPr>
            <w:tcMar>
              <w:top w:type="dxa" w:w="80"/>
              <w:left w:type="dxa" w:w="120"/>
              <w:bottom w:type="dxa" w:w="80"/>
              <w:right w:type="dxa" w:w="120"/>
            </w:tcMar>
          </w:tcPr>
          <w:p>
            <w:pPr>
              <w:jc w:val="right"/>
            </w:pPr>
            <w:r>
              <w:rPr>
                <w:rFonts w:ascii="Georgia" w:cs="Georgia" w:eastAsia="Georgia" w:hAnsi="Georgia"/>
                <w:sz w:val="18"/>
                <w:szCs w:val="18"/>
              </w:rPr>
              <w:t xml:space="preserve">2 000 000</w:t>
            </w:r>
          </w:p>
        </w:tc>
      </w:tr>
      <w:tr>
        <w:tc>
          <w:tcPr>
            <w:tcMar>
              <w:top w:type="dxa" w:w="80"/>
              <w:left w:type="dxa" w:w="120"/>
              <w:bottom w:type="dxa" w:w="80"/>
              <w:right w:type="dxa" w:w="120"/>
            </w:tcMar>
          </w:tcPr>
          <w:p>
            <w:pPr>
              <w:jc w:val="left"/>
            </w:pPr>
            <w:r>
              <w:rPr>
                <w:rFonts w:ascii="Georgia" w:cs="Georgia" w:eastAsia="Georgia" w:hAnsi="Georgia"/>
                <w:sz w:val="18"/>
                <w:szCs w:val="18"/>
              </w:rPr>
              <w:t xml:space="preserve">Coordination et gestion de programme</w:t>
            </w:r>
          </w:p>
        </w:tc>
        <w:tc>
          <w:tcPr>
            <w:tcMar>
              <w:top w:type="dxa" w:w="80"/>
              <w:left w:type="dxa" w:w="120"/>
              <w:bottom w:type="dxa" w:w="80"/>
              <w:right w:type="dxa" w:w="120"/>
            </w:tcMar>
          </w:tcPr>
          <w:p>
            <w:pPr>
              <w:jc w:val="left"/>
            </w:pPr>
            <w:r>
              <w:rPr>
                <w:rFonts w:ascii="Georgia" w:cs="Georgia" w:eastAsia="Georgia" w:hAnsi="Georgia"/>
                <w:sz w:val="18"/>
                <w:szCs w:val="18"/>
              </w:rPr>
              <w:t xml:space="preserve">Personnel de coordination, fonctionnement</w:t>
            </w:r>
          </w:p>
        </w:tc>
        <w:tc>
          <w:tcPr>
            <w:tcMar>
              <w:top w:type="dxa" w:w="80"/>
              <w:left w:type="dxa" w:w="120"/>
              <w:bottom w:type="dxa" w:w="80"/>
              <w:right w:type="dxa" w:w="120"/>
            </w:tcMar>
          </w:tcPr>
          <w:p>
            <w:pPr>
              <w:jc w:val="right"/>
            </w:pPr>
            <w:r>
              <w:rPr>
                <w:rFonts w:ascii="Georgia" w:cs="Georgia" w:eastAsia="Georgia" w:hAnsi="Georgia"/>
                <w:sz w:val="18"/>
                <w:szCs w:val="18"/>
              </w:rPr>
              <w:t xml:space="preserve">2 500 000</w:t>
            </w:r>
          </w:p>
        </w:tc>
      </w:tr>
      <w:tr>
        <w:tc>
          <w:tcPr>
            <w:gridSpan w:val="2"/>
            <w:shd w:fill="F7F4EC" w:val="clear"/>
            <w:tcMar>
              <w:top w:type="dxa" w:w="90"/>
              <w:left w:type="dxa" w:w="120"/>
              <w:bottom w:type="dxa" w:w="90"/>
              <w:right w:type="dxa" w:w="120"/>
            </w:tcMar>
          </w:tcPr>
          <w:p>
            <w:r>
              <w:rPr>
                <w:rFonts w:ascii="Georgia" w:cs="Georgia" w:eastAsia="Georgia" w:hAnsi="Georgia"/>
                <w:b/>
                <w:bCs/>
                <w:color w:val="1F3864"/>
                <w:sz w:val="19"/>
                <w:szCs w:val="19"/>
              </w:rPr>
              <w:t xml:space="preserve">TOTAL INDICATIF</w:t>
            </w:r>
          </w:p>
        </w:tc>
        <w:tc>
          <w:tcPr>
            <w:shd w:fill="F7F4EC" w:val="clear"/>
            <w:tcMar>
              <w:top w:type="dxa" w:w="90"/>
              <w:left w:type="dxa" w:w="120"/>
              <w:bottom w:type="dxa" w:w="90"/>
              <w:right w:type="dxa" w:w="120"/>
            </w:tcMar>
          </w:tcPr>
          <w:p>
            <w:pPr>
              <w:jc w:val="right"/>
            </w:pPr>
            <w:r>
              <w:rPr>
                <w:rFonts w:ascii="Georgia" w:cs="Georgia" w:eastAsia="Georgia" w:hAnsi="Georgia"/>
                <w:b/>
                <w:bCs/>
                <w:color w:val="1F3864"/>
                <w:sz w:val="19"/>
                <w:szCs w:val="19"/>
              </w:rPr>
              <w:t xml:space="preserve">31 500 000</w:t>
            </w:r>
          </w:p>
        </w:tc>
      </w:tr>
    </w:tbl>
    <w:p>
      <w:pPr>
        <w:spacing w:before="380"/>
      </w:pPr>
      <w:r>
        <w:rPr>
          <w:rFonts w:ascii="Georgia" w:cs="Georgia" w:eastAsia="Georgia" w:hAnsi="Georgia"/>
          <w:b/>
          <w:bCs/>
          <w:color w:val="1F3864"/>
          <w:sz w:val="22"/>
          <w:szCs w:val="22"/>
        </w:rPr>
        <w:t xml:space="preserve">Contact pour ce projet</w:t>
      </w:r>
    </w:p>
    <w:p>
      <w:pPr>
        <w:spacing w:after="130" w:line="300"/>
        <w:jc w:val="both"/>
      </w:pPr>
      <w:r>
        <w:rPr>
          <w:rFonts w:ascii="Georgia" w:cs="Georgia" w:eastAsia="Georgia" w:hAnsi="Georgia"/>
          <w:sz w:val="21"/>
          <w:szCs w:val="21"/>
        </w:rPr>
        <w:t xml:space="preserve">MAHOUNA F. Paul, Président Fondateur — MMDI</w:t>
      </w:r>
    </w:p>
    <w:p>
      <w:pPr>
        <w:spacing w:after="130" w:line="300"/>
        <w:jc w:val="both"/>
      </w:pPr>
      <w:r>
        <w:rPr>
          <w:rFonts w:ascii="Georgia" w:cs="Georgia" w:eastAsia="Georgia" w:hAnsi="Georgia"/>
          <w:sz w:val="21"/>
          <w:szCs w:val="21"/>
        </w:rPr>
        <w:t xml:space="preserve">Email : partnerships@newvipross.org</w:t>
      </w:r>
    </w:p>
    <w:sectPr>
      <w:footerReference w:type="default" r:id="rId7"/>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Georgia" w:cs="Georgia" w:eastAsia="Georgia" w:hAnsi="Georgia"/>
        <w:color w:val="555555"/>
        <w:sz w:val="16"/>
        <w:szCs w:val="16"/>
      </w:rPr>
      <w:t xml:space="preserve">MMDI — Fiche projet RESIL-BORGOU — page </w:t>
    </w:r>
    <w:r>
      <w:rPr>
        <w:rFonts w:ascii="Georgia" w:cs="Georgia" w:eastAsia="Georgia" w:hAnsi="Georgia"/>
        <w:color w:val="555555"/>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2026-07-28T23:08:18.104Z</dcterms:created>
  <dcterms:modified xsi:type="dcterms:W3CDTF">2026-07-28T23:08:18.119Z</dcterms:modified>
</cp:coreProperties>
</file>

<file path=docProps/custom.xml><?xml version="1.0" encoding="utf-8"?>
<Properties xmlns="http://schemas.openxmlformats.org/officeDocument/2006/custom-properties" xmlns:vt="http://schemas.openxmlformats.org/officeDocument/2006/docPropsVTypes"/>
</file>