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Georgia" w:cs="Georgia" w:eastAsia="Georgia" w:hAnsi="Georgia"/>
          <w:color w:val="000000"/>
          <w:sz w:val="20"/>
          <w:szCs w:val="20"/>
        </w:rPr>
        <w:t xml:space="preserve">RÉPUBLIQUE DU BÉNIN</w:t>
      </w:r>
    </w:p>
    <w:p>
      <w:pPr>
        <w:spacing w:after="120"/>
        <w:jc w:val="center"/>
      </w:pPr>
      <w:r>
        <w:rPr>
          <w:rFonts w:ascii="Georgia" w:cs="Georgia" w:eastAsia="Georgia" w:hAnsi="Georgia"/>
          <w:color w:val="000000"/>
          <w:sz w:val="24"/>
          <w:szCs w:val="24"/>
        </w:rPr>
        <w:t xml:space="preserve"/>
      </w:r>
    </w:p>
    <w:p>
      <w:pPr>
        <w:spacing w:after="120"/>
        <w:jc w:val="center"/>
      </w:pPr>
      <w:r>
        <w:rPr>
          <w:rFonts w:ascii="Georgia" w:cs="Georgia" w:eastAsia="Georgia" w:hAnsi="Georgia"/>
          <w:i/>
          <w:iCs/>
          <w:color w:val="555555"/>
          <w:sz w:val="17"/>
          <w:szCs w:val="17"/>
        </w:rPr>
        <w:t xml:space="preserve">Fiche projet — Version de travail, à valider avant diffusion aux bailleurs</w:t>
      </w:r>
    </w:p>
    <w:p>
      <w:pPr>
        <w:spacing w:after="120"/>
        <w:jc w:val="center"/>
      </w:pPr>
      <w:r>
        <w:rPr>
          <w:rFonts w:ascii="Georgia" w:cs="Georgia" w:eastAsia="Georgia" w:hAnsi="Georgia"/>
          <w:color w:val="000000"/>
          <w:sz w:val="24"/>
          <w:szCs w:val="24"/>
        </w:rPr>
        <w:t xml:space="preserve"/>
      </w:r>
    </w:p>
    <w:p>
      <w:pPr>
        <w:spacing w:after="120"/>
        <w:jc w:val="center"/>
      </w:pPr>
      <w:r>
        <w:rPr>
          <w:rFonts w:ascii="Georgia" w:cs="Georgia" w:eastAsia="Georgia" w:hAnsi="Georgia"/>
          <w:b/>
          <w:bCs/>
          <w:color w:val="1F3864"/>
          <w:sz w:val="34"/>
          <w:szCs w:val="34"/>
        </w:rPr>
        <w:t xml:space="preserve">NUTRI-BORGOU</w:t>
      </w:r>
    </w:p>
    <w:p>
      <w:pPr>
        <w:spacing w:after="120"/>
        <w:jc w:val="center"/>
      </w:pPr>
      <w:r>
        <w:rPr>
          <w:rFonts w:ascii="Georgia" w:cs="Georgia" w:eastAsia="Georgia" w:hAnsi="Georgia"/>
          <w:b/>
          <w:bCs/>
          <w:color w:val="000000"/>
          <w:sz w:val="22"/>
          <w:szCs w:val="22"/>
        </w:rPr>
        <w:t xml:space="preserve">Programme de sécurité alimentaire et nutritionnelle communautaire</w:t>
      </w:r>
    </w:p>
    <w:p>
      <w:pPr>
        <w:spacing w:after="120"/>
        <w:jc w:val="center"/>
      </w:pPr>
      <w:r>
        <w:rPr>
          <w:rFonts w:ascii="Georgia" w:cs="Georgia" w:eastAsia="Georgia" w:hAnsi="Georgia"/>
          <w:color w:val="000000"/>
          <w:sz w:val="24"/>
          <w:szCs w:val="24"/>
        </w:rPr>
        <w:t xml:space="preserve"/>
      </w:r>
    </w:p>
    <w:p>
      <w:pPr>
        <w:spacing w:after="120"/>
        <w:jc w:val="center"/>
      </w:pPr>
      <w:r>
        <w:rPr>
          <w:rFonts w:ascii="Georgia" w:cs="Georgia" w:eastAsia="Georgia" w:hAnsi="Georgia"/>
          <w:b/>
          <w:bCs/>
          <w:color w:val="B8860B"/>
          <w:sz w:val="20"/>
          <w:szCs w:val="20"/>
        </w:rPr>
        <w:t xml:space="preserve">MISSION MONDIALE POUR LE DÉVELOPPEMENT INTÉGRAL (MMDI)</w:t>
      </w:r>
    </w:p>
    <w:tbl>
      <w:tblPr>
        <w:tblW w:type="pct" w:w="100%"/>
        <w:tblBorders>
          <w:top w:val="single" w:color="DDD6C4" w:sz="4"/>
          <w:left w:val="single" w:color="DDD6C4" w:sz="4"/>
          <w:bottom w:val="single" w:color="DDD6C4" w:sz="4"/>
          <w:right w:val="single" w:color="DDD6C4" w:sz="4"/>
          <w:insideH w:val="single" w:color="DDD6C4" w:sz="4"/>
          <w:insideV w:val="single" w:color="DDD6C4" w:sz="4"/>
        </w:tblBorders>
      </w:tblPr>
      <w:tblGrid>
        <w:gridCol w:w="100"/>
        <w:gridCol w:w="100"/>
      </w:tblGrid>
      <w:tr>
        <w:tc>
          <w:tcPr>
            <w:tcW w:type="pct" w:w="30%"/>
            <w:shd w:fill="F7F4EC" w:val="clear"/>
            <w:tcMar>
              <w:top w:type="dxa" w:w="100"/>
              <w:left w:type="dxa" w:w="150"/>
              <w:bottom w:type="dxa" w:w="100"/>
              <w:right w:type="dxa" w:w="100"/>
            </w:tcMar>
          </w:tcPr>
          <w:p>
            <w:r>
              <w:rPr>
                <w:rFonts w:ascii="Georgia" w:cs="Georgia" w:eastAsia="Georgia" w:hAnsi="Georgia"/>
                <w:b/>
                <w:bCs/>
                <w:color w:val="1F3864"/>
                <w:sz w:val="19"/>
                <w:szCs w:val="19"/>
              </w:rPr>
              <w:t xml:space="preserve">Axe statutaire</w:t>
            </w:r>
          </w:p>
        </w:tc>
        <w:tc>
          <w:tcPr>
            <w:tcW w:type="pct" w:w="70%"/>
            <w:tcMar>
              <w:top w:type="dxa" w:w="100"/>
              <w:left w:type="dxa" w:w="150"/>
              <w:bottom w:type="dxa" w:w="100"/>
              <w:right w:type="dxa" w:w="100"/>
            </w:tcMar>
          </w:tcPr>
          <w:p>
            <w:r>
              <w:rPr>
                <w:rFonts w:ascii="Georgia" w:cs="Georgia" w:eastAsia="Georgia" w:hAnsi="Georgia"/>
                <w:sz w:val="19"/>
                <w:szCs w:val="19"/>
              </w:rPr>
              <w:t xml:space="preserve">Santé et sécurité alimentaire</w:t>
            </w:r>
          </w:p>
        </w:tc>
      </w:tr>
      <w:tr>
        <w:tc>
          <w:tcPr>
            <w:tcW w:type="pct" w:w="30%"/>
            <w:shd w:fill="F7F4EC" w:val="clear"/>
            <w:tcMar>
              <w:top w:type="dxa" w:w="100"/>
              <w:left w:type="dxa" w:w="150"/>
              <w:bottom w:type="dxa" w:w="100"/>
              <w:right w:type="dxa" w:w="100"/>
            </w:tcMar>
          </w:tcPr>
          <w:p>
            <w:r>
              <w:rPr>
                <w:rFonts w:ascii="Georgia" w:cs="Georgia" w:eastAsia="Georgia" w:hAnsi="Georgia"/>
                <w:b/>
                <w:bCs/>
                <w:color w:val="1F3864"/>
                <w:sz w:val="19"/>
                <w:szCs w:val="19"/>
              </w:rPr>
              <w:t xml:space="preserve">Zone géographique</w:t>
            </w:r>
          </w:p>
        </w:tc>
        <w:tc>
          <w:tcPr>
            <w:tcW w:type="pct" w:w="70%"/>
            <w:tcMar>
              <w:top w:type="dxa" w:w="100"/>
              <w:left w:type="dxa" w:w="150"/>
              <w:bottom w:type="dxa" w:w="100"/>
              <w:right w:type="dxa" w:w="100"/>
            </w:tcMar>
          </w:tcPr>
          <w:p>
            <w:r>
              <w:rPr>
                <w:rFonts w:ascii="Georgia" w:cs="Georgia" w:eastAsia="Georgia" w:hAnsi="Georgia"/>
                <w:sz w:val="19"/>
                <w:szCs w:val="19"/>
              </w:rPr>
              <w:t xml:space="preserve">Département du Borgou (communes pilotes à confirmer)</w:t>
            </w:r>
          </w:p>
        </w:tc>
      </w:tr>
      <w:tr>
        <w:tc>
          <w:tcPr>
            <w:tcW w:type="pct" w:w="30%"/>
            <w:shd w:fill="F7F4EC" w:val="clear"/>
            <w:tcMar>
              <w:top w:type="dxa" w:w="100"/>
              <w:left w:type="dxa" w:w="150"/>
              <w:bottom w:type="dxa" w:w="100"/>
              <w:right w:type="dxa" w:w="100"/>
            </w:tcMar>
          </w:tcPr>
          <w:p>
            <w:r>
              <w:rPr>
                <w:rFonts w:ascii="Georgia" w:cs="Georgia" w:eastAsia="Georgia" w:hAnsi="Georgia"/>
                <w:b/>
                <w:bCs/>
                <w:color w:val="1F3864"/>
                <w:sz w:val="19"/>
                <w:szCs w:val="19"/>
              </w:rPr>
              <w:t xml:space="preserve">Bénéficiaires ciblés</w:t>
            </w:r>
          </w:p>
        </w:tc>
        <w:tc>
          <w:tcPr>
            <w:tcW w:type="pct" w:w="70%"/>
            <w:tcMar>
              <w:top w:type="dxa" w:w="100"/>
              <w:left w:type="dxa" w:w="150"/>
              <w:bottom w:type="dxa" w:w="100"/>
              <w:right w:type="dxa" w:w="100"/>
            </w:tcMar>
          </w:tcPr>
          <w:p>
            <w:r>
              <w:rPr>
                <w:rFonts w:ascii="Georgia" w:cs="Georgia" w:eastAsia="Georgia" w:hAnsi="Georgia"/>
                <w:sz w:val="19"/>
                <w:szCs w:val="19"/>
              </w:rPr>
              <w:t xml:space="preserve">1 000 enfants de moins de 5 ans et 500 femmes enceintes ou allaitantes</w:t>
            </w:r>
          </w:p>
        </w:tc>
      </w:tr>
      <w:tr>
        <w:tc>
          <w:tcPr>
            <w:tcW w:type="pct" w:w="30%"/>
            <w:shd w:fill="F7F4EC" w:val="clear"/>
            <w:tcMar>
              <w:top w:type="dxa" w:w="100"/>
              <w:left w:type="dxa" w:w="150"/>
              <w:bottom w:type="dxa" w:w="100"/>
              <w:right w:type="dxa" w:w="100"/>
            </w:tcMar>
          </w:tcPr>
          <w:p>
            <w:r>
              <w:rPr>
                <w:rFonts w:ascii="Georgia" w:cs="Georgia" w:eastAsia="Georgia" w:hAnsi="Georgia"/>
                <w:b/>
                <w:bCs/>
                <w:color w:val="1F3864"/>
                <w:sz w:val="19"/>
                <w:szCs w:val="19"/>
              </w:rPr>
              <w:t xml:space="preserve">Durée envisagée</w:t>
            </w:r>
          </w:p>
        </w:tc>
        <w:tc>
          <w:tcPr>
            <w:tcW w:type="pct" w:w="70%"/>
            <w:tcMar>
              <w:top w:type="dxa" w:w="100"/>
              <w:left w:type="dxa" w:w="150"/>
              <w:bottom w:type="dxa" w:w="100"/>
              <w:right w:type="dxa" w:w="100"/>
            </w:tcMar>
          </w:tcPr>
          <w:p>
            <w:r>
              <w:rPr>
                <w:rFonts w:ascii="Georgia" w:cs="Georgia" w:eastAsia="Georgia" w:hAnsi="Georgia"/>
                <w:sz w:val="19"/>
                <w:szCs w:val="19"/>
              </w:rPr>
              <w:t xml:space="preserve">24 mois</w:t>
            </w:r>
          </w:p>
        </w:tc>
      </w:tr>
      <w:tr>
        <w:tc>
          <w:tcPr>
            <w:tcW w:type="pct" w:w="30%"/>
            <w:shd w:fill="F7F4EC" w:val="clear"/>
            <w:tcMar>
              <w:top w:type="dxa" w:w="100"/>
              <w:left w:type="dxa" w:w="150"/>
              <w:bottom w:type="dxa" w:w="100"/>
              <w:right w:type="dxa" w:w="100"/>
            </w:tcMar>
          </w:tcPr>
          <w:p>
            <w:r>
              <w:rPr>
                <w:rFonts w:ascii="Georgia" w:cs="Georgia" w:eastAsia="Georgia" w:hAnsi="Georgia"/>
                <w:b/>
                <w:bCs/>
                <w:color w:val="1F3864"/>
                <w:sz w:val="19"/>
                <w:szCs w:val="19"/>
              </w:rPr>
              <w:t xml:space="preserve">Budget indicatif</w:t>
            </w:r>
          </w:p>
        </w:tc>
        <w:tc>
          <w:tcPr>
            <w:tcW w:type="pct" w:w="70%"/>
            <w:tcMar>
              <w:top w:type="dxa" w:w="100"/>
              <w:left w:type="dxa" w:w="150"/>
              <w:bottom w:type="dxa" w:w="100"/>
              <w:right w:type="dxa" w:w="100"/>
            </w:tcMar>
          </w:tcPr>
          <w:p>
            <w:r>
              <w:rPr>
                <w:rFonts w:ascii="Georgia" w:cs="Georgia" w:eastAsia="Georgia" w:hAnsi="Georgia"/>
                <w:sz w:val="19"/>
                <w:szCs w:val="19"/>
              </w:rPr>
              <w:t xml:space="preserve">27 800 000 FCFA (à valider — voir détail en fin de fiche)</w:t>
            </w:r>
          </w:p>
        </w:tc>
      </w:tr>
    </w:tbl>
    <w:p>
      <w:pPr>
        <w:pStyle w:val="Heading1"/>
        <w:pBdr>
          <w:bottom w:val="single" w:color="1F3864" w:sz="8" w:space="4"/>
        </w:pBdr>
        <w:spacing w:after="140" w:before="340"/>
      </w:pPr>
      <w:r>
        <w:rPr>
          <w:rFonts w:ascii="Georgia" w:cs="Georgia" w:eastAsia="Georgia" w:hAnsi="Georgia"/>
          <w:b/>
          <w:bCs/>
          <w:color w:val="1F3864"/>
          <w:sz w:val="25"/>
          <w:szCs w:val="25"/>
        </w:rPr>
        <w:t xml:space="preserve">Contexte et justification</w:t>
      </w:r>
    </w:p>
    <w:p>
      <w:pPr>
        <w:spacing w:after="130" w:line="300"/>
        <w:jc w:val="both"/>
      </w:pPr>
      <w:r>
        <w:rPr>
          <w:rFonts w:ascii="Georgia" w:cs="Georgia" w:eastAsia="Georgia" w:hAnsi="Georgia"/>
          <w:sz w:val="21"/>
          <w:szCs w:val="21"/>
        </w:rPr>
        <w:t xml:space="preserve">L'insécurité alimentaire saisonnière et la malnutrition infantile demeurent des défis importants dans plusieurs zones rurales du Borgou, où les pratiques de production et de diversification alimentaire restent limitées et l'accès aux services de santé nutritionnelle inégal, en particulier pour les jeunes enfants et les femmes enceintes ou allaitantes.</w:t>
      </w:r>
    </w:p>
    <w:p>
      <w:pPr>
        <w:spacing w:after="130" w:line="300"/>
        <w:jc w:val="both"/>
      </w:pPr>
      <w:r>
        <w:rPr>
          <w:rFonts w:ascii="Georgia" w:cs="Georgia" w:eastAsia="Georgia" w:hAnsi="Georgia"/>
          <w:sz w:val="21"/>
          <w:szCs w:val="21"/>
        </w:rPr>
        <w:t xml:space="preserve">La MMDI souhaite y appuyer un programme communautaire de sécurité alimentaire et nutritionnelle, articulant dépistage, sensibilisation et appui à la production locale.</w:t>
      </w:r>
    </w:p>
    <w:p>
      <w:pPr>
        <w:pStyle w:val="Heading1"/>
        <w:pBdr>
          <w:bottom w:val="single" w:color="1F3864" w:sz="8" w:space="4"/>
        </w:pBdr>
        <w:spacing w:after="140" w:before="340"/>
      </w:pPr>
      <w:r>
        <w:rPr>
          <w:rFonts w:ascii="Georgia" w:cs="Georgia" w:eastAsia="Georgia" w:hAnsi="Georgia"/>
          <w:b/>
          <w:bCs/>
          <w:color w:val="1F3864"/>
          <w:sz w:val="25"/>
          <w:szCs w:val="25"/>
        </w:rPr>
        <w:t xml:space="preserve">Objectif général</w:t>
      </w:r>
    </w:p>
    <w:p>
      <w:pPr>
        <w:spacing w:after="130" w:line="300"/>
        <w:jc w:val="both"/>
      </w:pPr>
      <w:r>
        <w:rPr>
          <w:rFonts w:ascii="Georgia" w:cs="Georgia" w:eastAsia="Georgia" w:hAnsi="Georgia"/>
          <w:sz w:val="21"/>
          <w:szCs w:val="21"/>
        </w:rPr>
        <w:t xml:space="preserve">Améliorer la sécurité alimentaire et l'état nutritionnel des enfants de moins de 5 ans et des femmes enceintes ou allaitantes dans les communautés ciblées du Borgou.</w:t>
      </w:r>
    </w:p>
    <w:p>
      <w:pPr>
        <w:pStyle w:val="Heading1"/>
        <w:pBdr>
          <w:bottom w:val="single" w:color="1F3864" w:sz="8" w:space="4"/>
        </w:pBdr>
        <w:spacing w:after="140" w:before="340"/>
      </w:pPr>
      <w:r>
        <w:rPr>
          <w:rFonts w:ascii="Georgia" w:cs="Georgia" w:eastAsia="Georgia" w:hAnsi="Georgia"/>
          <w:b/>
          <w:bCs/>
          <w:color w:val="1F3864"/>
          <w:sz w:val="25"/>
          <w:szCs w:val="25"/>
        </w:rPr>
        <w:t xml:space="preserve">Objectifs spécifiques</w:t>
      </w:r>
    </w:p>
    <w:p>
      <w:pPr>
        <w:pStyle w:val="ListParagraph"/>
        <w:numPr>
          <w:ilvl w:val="0"/>
          <w:numId w:val="1"/>
        </w:numPr>
        <w:spacing w:after="70"/>
      </w:pPr>
      <w:r>
        <w:rPr>
          <w:rFonts w:ascii="Georgia" w:cs="Georgia" w:eastAsia="Georgia" w:hAnsi="Georgia"/>
          <w:sz w:val="21"/>
          <w:szCs w:val="21"/>
        </w:rPr>
        <w:t xml:space="preserve">Dépister précocement les cas de malnutrition chez les enfants de moins de 5 ans ;</w:t>
      </w:r>
    </w:p>
    <w:p>
      <w:pPr>
        <w:pStyle w:val="ListParagraph"/>
        <w:numPr>
          <w:ilvl w:val="0"/>
          <w:numId w:val="1"/>
        </w:numPr>
        <w:spacing w:after="70"/>
      </w:pPr>
      <w:r>
        <w:rPr>
          <w:rFonts w:ascii="Georgia" w:cs="Georgia" w:eastAsia="Georgia" w:hAnsi="Georgia"/>
          <w:sz w:val="21"/>
          <w:szCs w:val="21"/>
        </w:rPr>
        <w:t xml:space="preserve">Sensibiliser les communautés aux bonnes pratiques nutritionnelles et nutritionnelles ;</w:t>
      </w:r>
    </w:p>
    <w:p>
      <w:pPr>
        <w:pStyle w:val="ListParagraph"/>
        <w:numPr>
          <w:ilvl w:val="0"/>
          <w:numId w:val="1"/>
        </w:numPr>
        <w:spacing w:after="70"/>
      </w:pPr>
      <w:r>
        <w:rPr>
          <w:rFonts w:ascii="Georgia" w:cs="Georgia" w:eastAsia="Georgia" w:hAnsi="Georgia"/>
          <w:sz w:val="21"/>
          <w:szCs w:val="21"/>
        </w:rPr>
        <w:t xml:space="preserve">Appuyer la mise en place de jardins potagers communautaires pour diversifier l'alimentation locale ;</w:t>
      </w:r>
    </w:p>
    <w:p>
      <w:pPr>
        <w:pStyle w:val="ListParagraph"/>
        <w:numPr>
          <w:ilvl w:val="0"/>
          <w:numId w:val="1"/>
        </w:numPr>
        <w:spacing w:after="70"/>
      </w:pPr>
      <w:r>
        <w:rPr>
          <w:rFonts w:ascii="Georgia" w:cs="Georgia" w:eastAsia="Georgia" w:hAnsi="Georgia"/>
          <w:sz w:val="21"/>
          <w:szCs w:val="21"/>
        </w:rPr>
        <w:t xml:space="preserve">Distribuer des kits nutritionnels aux ménages les plus à risque.</w:t>
      </w:r>
    </w:p>
    <w:p>
      <w:pPr>
        <w:pStyle w:val="Heading1"/>
        <w:pBdr>
          <w:bottom w:val="single" w:color="1F3864" w:sz="8" w:space="4"/>
        </w:pBdr>
        <w:spacing w:after="140" w:before="340"/>
      </w:pPr>
      <w:r>
        <w:rPr>
          <w:rFonts w:ascii="Georgia" w:cs="Georgia" w:eastAsia="Georgia" w:hAnsi="Georgia"/>
          <w:b/>
          <w:bCs/>
          <w:color w:val="1F3864"/>
          <w:sz w:val="25"/>
          <w:szCs w:val="25"/>
        </w:rPr>
        <w:t xml:space="preserve">Activités principales</w:t>
      </w:r>
    </w:p>
    <w:p>
      <w:pPr>
        <w:pStyle w:val="ListParagraph"/>
        <w:numPr>
          <w:ilvl w:val="0"/>
          <w:numId w:val="1"/>
        </w:numPr>
        <w:spacing w:after="70"/>
      </w:pPr>
      <w:r>
        <w:rPr>
          <w:rFonts w:ascii="Georgia" w:cs="Georgia" w:eastAsia="Georgia" w:hAnsi="Georgia"/>
          <w:sz w:val="21"/>
          <w:szCs w:val="21"/>
        </w:rPr>
        <w:t xml:space="preserve">Dépistage communautaire périodique de la malnutrition infantile ;</w:t>
      </w:r>
    </w:p>
    <w:p>
      <w:pPr>
        <w:pStyle w:val="ListParagraph"/>
        <w:numPr>
          <w:ilvl w:val="0"/>
          <w:numId w:val="1"/>
        </w:numPr>
        <w:spacing w:after="70"/>
      </w:pPr>
      <w:r>
        <w:rPr>
          <w:rFonts w:ascii="Georgia" w:cs="Georgia" w:eastAsia="Georgia" w:hAnsi="Georgia"/>
          <w:sz w:val="21"/>
          <w:szCs w:val="21"/>
        </w:rPr>
        <w:t xml:space="preserve">Séances de sensibilisation aux bonnes pratiques nutritionnelles et d'hygiène alimentaire ;</w:t>
      </w:r>
    </w:p>
    <w:p>
      <w:pPr>
        <w:pStyle w:val="ListParagraph"/>
        <w:numPr>
          <w:ilvl w:val="0"/>
          <w:numId w:val="1"/>
        </w:numPr>
        <w:spacing w:after="70"/>
      </w:pPr>
      <w:r>
        <w:rPr>
          <w:rFonts w:ascii="Georgia" w:cs="Georgia" w:eastAsia="Georgia" w:hAnsi="Georgia"/>
          <w:sz w:val="21"/>
          <w:szCs w:val="21"/>
        </w:rPr>
        <w:t xml:space="preserve">Mise en place et accompagnement technique de jardins potagers communautaires ;</w:t>
      </w:r>
    </w:p>
    <w:p>
      <w:pPr>
        <w:pStyle w:val="ListParagraph"/>
        <w:numPr>
          <w:ilvl w:val="0"/>
          <w:numId w:val="1"/>
        </w:numPr>
        <w:spacing w:after="70"/>
      </w:pPr>
      <w:r>
        <w:rPr>
          <w:rFonts w:ascii="Georgia" w:cs="Georgia" w:eastAsia="Georgia" w:hAnsi="Georgia"/>
          <w:sz w:val="21"/>
          <w:szCs w:val="21"/>
        </w:rPr>
        <w:t xml:space="preserve">Distribution de kits nutritionnels aux ménages prioritaires identifiés lors du dépistage ;</w:t>
      </w:r>
    </w:p>
    <w:p>
      <w:pPr>
        <w:pStyle w:val="ListParagraph"/>
        <w:numPr>
          <w:ilvl w:val="0"/>
          <w:numId w:val="1"/>
        </w:numPr>
        <w:spacing w:after="70"/>
      </w:pPr>
      <w:r>
        <w:rPr>
          <w:rFonts w:ascii="Georgia" w:cs="Georgia" w:eastAsia="Georgia" w:hAnsi="Georgia"/>
          <w:sz w:val="21"/>
          <w:szCs w:val="21"/>
        </w:rPr>
        <w:t xml:space="preserve">Coordination avec les structures sanitaires locales pour la prise en charge des cas sévères.</w:t>
      </w:r>
    </w:p>
    <w:p>
      <w:pPr>
        <w:pStyle w:val="Heading1"/>
        <w:pBdr>
          <w:bottom w:val="single" w:color="1F3864" w:sz="8" w:space="4"/>
        </w:pBdr>
        <w:spacing w:after="140" w:before="340"/>
      </w:pPr>
      <w:r>
        <w:rPr>
          <w:rFonts w:ascii="Georgia" w:cs="Georgia" w:eastAsia="Georgia" w:hAnsi="Georgia"/>
          <w:b/>
          <w:bCs/>
          <w:color w:val="1F3864"/>
          <w:sz w:val="25"/>
          <w:szCs w:val="25"/>
        </w:rPr>
        <w:t xml:space="preserve">Résultats attendus</w:t>
      </w:r>
    </w:p>
    <w:p>
      <w:pPr>
        <w:pStyle w:val="ListParagraph"/>
        <w:numPr>
          <w:ilvl w:val="0"/>
          <w:numId w:val="1"/>
        </w:numPr>
        <w:spacing w:after="70"/>
      </w:pPr>
      <w:r>
        <w:rPr>
          <w:rFonts w:ascii="Georgia" w:cs="Georgia" w:eastAsia="Georgia" w:hAnsi="Georgia"/>
          <w:sz w:val="21"/>
          <w:szCs w:val="21"/>
        </w:rPr>
        <w:t xml:space="preserve">Les cas de malnutrition infantile sont dépistés précocement et orientés vers une prise en charge adaptée ;</w:t>
      </w:r>
    </w:p>
    <w:p>
      <w:pPr>
        <w:pStyle w:val="ListParagraph"/>
        <w:numPr>
          <w:ilvl w:val="0"/>
          <w:numId w:val="1"/>
        </w:numPr>
        <w:spacing w:after="70"/>
      </w:pPr>
      <w:r>
        <w:rPr>
          <w:rFonts w:ascii="Georgia" w:cs="Georgia" w:eastAsia="Georgia" w:hAnsi="Georgia"/>
          <w:sz w:val="21"/>
          <w:szCs w:val="21"/>
        </w:rPr>
        <w:t xml:space="preserve">Les communautés ciblées adoptent des pratiques nutritionnelles améliorées ;</w:t>
      </w:r>
    </w:p>
    <w:p>
      <w:pPr>
        <w:pStyle w:val="ListParagraph"/>
        <w:numPr>
          <w:ilvl w:val="0"/>
          <w:numId w:val="1"/>
        </w:numPr>
        <w:spacing w:after="70"/>
      </w:pPr>
      <w:r>
        <w:rPr>
          <w:rFonts w:ascii="Georgia" w:cs="Georgia" w:eastAsia="Georgia" w:hAnsi="Georgia"/>
          <w:sz w:val="21"/>
          <w:szCs w:val="21"/>
        </w:rPr>
        <w:t xml:space="preserve">Des jardins potagers communautaires sont opérationnels et contribuent à la diversification alimentaire locale ;</w:t>
      </w:r>
    </w:p>
    <w:p>
      <w:pPr>
        <w:pStyle w:val="ListParagraph"/>
        <w:numPr>
          <w:ilvl w:val="0"/>
          <w:numId w:val="1"/>
        </w:numPr>
        <w:spacing w:after="70"/>
      </w:pPr>
      <w:r>
        <w:rPr>
          <w:rFonts w:ascii="Georgia" w:cs="Georgia" w:eastAsia="Georgia" w:hAnsi="Georgia"/>
          <w:sz w:val="21"/>
          <w:szCs w:val="21"/>
        </w:rPr>
        <w:t xml:space="preserve">Un partenariat de coordination est établi avec les structures sanitaires locales.</w:t>
      </w:r>
    </w:p>
    <w:p>
      <w:pPr>
        <w:pStyle w:val="Heading1"/>
        <w:pBdr>
          <w:bottom w:val="single" w:color="1F3864" w:sz="8" w:space="4"/>
        </w:pBdr>
        <w:spacing w:after="140" w:before="340"/>
      </w:pPr>
      <w:r>
        <w:rPr>
          <w:rFonts w:ascii="Georgia" w:cs="Georgia" w:eastAsia="Georgia" w:hAnsi="Georgia"/>
          <w:b/>
          <w:bCs/>
          <w:color w:val="1F3864"/>
          <w:sz w:val="25"/>
          <w:szCs w:val="25"/>
        </w:rPr>
        <w:t xml:space="preserve">Budget indicatif</w:t>
      </w:r>
    </w:p>
    <w:p>
      <w:pPr>
        <w:spacing w:after="130" w:line="280"/>
      </w:pPr>
      <w:r>
        <w:rPr>
          <w:rFonts w:ascii="Georgia" w:cs="Georgia" w:eastAsia="Georgia" w:hAnsi="Georgia"/>
          <w:i/>
          <w:iCs/>
          <w:color w:val="555555"/>
          <w:sz w:val="18"/>
          <w:szCs w:val="18"/>
        </w:rPr>
        <w:t xml:space="preserve">Ce budget est une estimation de cadrage destinée à orienter les discussions avec les bailleurs ; il sera affiné en lien avec les structures sanitaires locales.</w:t>
      </w:r>
    </w:p>
    <w:tbl>
      <w:tblPr>
        <w:tblW w:type="pct" w:w="100%"/>
        <w:tblBorders>
          <w:top w:val="single" w:color="DDD6C4" w:sz="4"/>
          <w:left w:val="single" w:color="DDD6C4" w:sz="4"/>
          <w:bottom w:val="single" w:color="DDD6C4" w:sz="4"/>
          <w:right w:val="single" w:color="DDD6C4" w:sz="4"/>
          <w:insideH w:val="single" w:color="DDD6C4" w:sz="4"/>
          <w:insideV w:val="single" w:color="DDD6C4" w:sz="4"/>
        </w:tblBorders>
      </w:tblPr>
      <w:tblGrid>
        <w:gridCol w:w="100"/>
        <w:gridCol w:w="100"/>
        <w:gridCol w:w="100"/>
      </w:tblGrid>
      <w:tr>
        <w:tc>
          <w:tcPr>
            <w:shd w:fill="1F3864" w:val="clear"/>
            <w:tcMar>
              <w:top w:type="dxa" w:w="90"/>
              <w:left w:type="dxa" w:w="120"/>
              <w:bottom w:type="dxa" w:w="90"/>
              <w:right w:type="dxa" w:w="120"/>
            </w:tcMar>
          </w:tcPr>
          <w:p>
            <w:r>
              <w:rPr>
                <w:rFonts w:ascii="Georgia" w:cs="Georgia" w:eastAsia="Georgia" w:hAnsi="Georgia"/>
                <w:b/>
                <w:bCs/>
                <w:color w:val="FFFFFF"/>
                <w:sz w:val="18"/>
                <w:szCs w:val="18"/>
              </w:rPr>
              <w:t xml:space="preserve">Poste budgétaire</w:t>
            </w:r>
          </w:p>
        </w:tc>
        <w:tc>
          <w:tcPr>
            <w:shd w:fill="1F3864" w:val="clear"/>
            <w:tcMar>
              <w:top w:type="dxa" w:w="90"/>
              <w:left w:type="dxa" w:w="120"/>
              <w:bottom w:type="dxa" w:w="90"/>
              <w:right w:type="dxa" w:w="120"/>
            </w:tcMar>
          </w:tcPr>
          <w:p>
            <w:r>
              <w:rPr>
                <w:rFonts w:ascii="Georgia" w:cs="Georgia" w:eastAsia="Georgia" w:hAnsi="Georgia"/>
                <w:b/>
                <w:bCs/>
                <w:color w:val="FFFFFF"/>
                <w:sz w:val="18"/>
                <w:szCs w:val="18"/>
              </w:rPr>
              <w:t xml:space="preserve">Description</w:t>
            </w:r>
          </w:p>
        </w:tc>
        <w:tc>
          <w:tcPr>
            <w:shd w:fill="1F3864" w:val="clear"/>
            <w:tcMar>
              <w:top w:type="dxa" w:w="90"/>
              <w:left w:type="dxa" w:w="120"/>
              <w:bottom w:type="dxa" w:w="90"/>
              <w:right w:type="dxa" w:w="120"/>
            </w:tcMar>
          </w:tcPr>
          <w:p>
            <w:r>
              <w:rPr>
                <w:rFonts w:ascii="Georgia" w:cs="Georgia" w:eastAsia="Georgia" w:hAnsi="Georgia"/>
                <w:b/>
                <w:bCs/>
                <w:color w:val="FFFFFF"/>
                <w:sz w:val="18"/>
                <w:szCs w:val="18"/>
              </w:rPr>
              <w:t xml:space="preserve">Montant indicatif (FCFA)</w:t>
            </w:r>
          </w:p>
        </w:tc>
      </w:tr>
      <w:tr>
        <w:tc>
          <w:tcPr>
            <w:tcMar>
              <w:top w:type="dxa" w:w="80"/>
              <w:left w:type="dxa" w:w="120"/>
              <w:bottom w:type="dxa" w:w="80"/>
              <w:right w:type="dxa" w:w="120"/>
            </w:tcMar>
          </w:tcPr>
          <w:p>
            <w:pPr>
              <w:jc w:val="left"/>
            </w:pPr>
            <w:r>
              <w:rPr>
                <w:rFonts w:ascii="Georgia" w:cs="Georgia" w:eastAsia="Georgia" w:hAnsi="Georgia"/>
                <w:sz w:val="18"/>
                <w:szCs w:val="18"/>
              </w:rPr>
              <w:t xml:space="preserve">Dépistage communautaire</w:t>
            </w:r>
          </w:p>
        </w:tc>
        <w:tc>
          <w:tcPr>
            <w:tcMar>
              <w:top w:type="dxa" w:w="80"/>
              <w:left w:type="dxa" w:w="120"/>
              <w:bottom w:type="dxa" w:w="80"/>
              <w:right w:type="dxa" w:w="120"/>
            </w:tcMar>
          </w:tcPr>
          <w:p>
            <w:pPr>
              <w:jc w:val="left"/>
            </w:pPr>
            <w:r>
              <w:rPr>
                <w:rFonts w:ascii="Georgia" w:cs="Georgia" w:eastAsia="Georgia" w:hAnsi="Georgia"/>
                <w:sz w:val="18"/>
                <w:szCs w:val="18"/>
              </w:rPr>
              <w:t xml:space="preserve">Agents de santé communautaire, matériel de dépistage</w:t>
            </w:r>
          </w:p>
        </w:tc>
        <w:tc>
          <w:tcPr>
            <w:tcMar>
              <w:top w:type="dxa" w:w="80"/>
              <w:left w:type="dxa" w:w="120"/>
              <w:bottom w:type="dxa" w:w="80"/>
              <w:right w:type="dxa" w:w="120"/>
            </w:tcMar>
          </w:tcPr>
          <w:p>
            <w:pPr>
              <w:jc w:val="right"/>
            </w:pPr>
            <w:r>
              <w:rPr>
                <w:rFonts w:ascii="Georgia" w:cs="Georgia" w:eastAsia="Georgia" w:hAnsi="Georgia"/>
                <w:sz w:val="18"/>
                <w:szCs w:val="18"/>
              </w:rPr>
              <w:t xml:space="preserve">5 000 000</w:t>
            </w:r>
          </w:p>
        </w:tc>
      </w:tr>
      <w:tr>
        <w:tc>
          <w:tcPr>
            <w:tcMar>
              <w:top w:type="dxa" w:w="80"/>
              <w:left w:type="dxa" w:w="120"/>
              <w:bottom w:type="dxa" w:w="80"/>
              <w:right w:type="dxa" w:w="120"/>
            </w:tcMar>
          </w:tcPr>
          <w:p>
            <w:pPr>
              <w:jc w:val="left"/>
            </w:pPr>
            <w:r>
              <w:rPr>
                <w:rFonts w:ascii="Georgia" w:cs="Georgia" w:eastAsia="Georgia" w:hAnsi="Georgia"/>
                <w:sz w:val="18"/>
                <w:szCs w:val="18"/>
              </w:rPr>
              <w:t xml:space="preserve">Sensibilisation nutritionnelle</w:t>
            </w:r>
          </w:p>
        </w:tc>
        <w:tc>
          <w:tcPr>
            <w:tcMar>
              <w:top w:type="dxa" w:w="80"/>
              <w:left w:type="dxa" w:w="120"/>
              <w:bottom w:type="dxa" w:w="80"/>
              <w:right w:type="dxa" w:w="120"/>
            </w:tcMar>
          </w:tcPr>
          <w:p>
            <w:pPr>
              <w:jc w:val="left"/>
            </w:pPr>
            <w:r>
              <w:rPr>
                <w:rFonts w:ascii="Georgia" w:cs="Georgia" w:eastAsia="Georgia" w:hAnsi="Georgia"/>
                <w:sz w:val="18"/>
                <w:szCs w:val="18"/>
              </w:rPr>
              <w:t xml:space="preserve">Séances communautaires, supports pédagogiques</w:t>
            </w:r>
          </w:p>
        </w:tc>
        <w:tc>
          <w:tcPr>
            <w:tcMar>
              <w:top w:type="dxa" w:w="80"/>
              <w:left w:type="dxa" w:w="120"/>
              <w:bottom w:type="dxa" w:w="80"/>
              <w:right w:type="dxa" w:w="120"/>
            </w:tcMar>
          </w:tcPr>
          <w:p>
            <w:pPr>
              <w:jc w:val="right"/>
            </w:pPr>
            <w:r>
              <w:rPr>
                <w:rFonts w:ascii="Georgia" w:cs="Georgia" w:eastAsia="Georgia" w:hAnsi="Georgia"/>
                <w:sz w:val="18"/>
                <w:szCs w:val="18"/>
              </w:rPr>
              <w:t xml:space="preserve">3 500 000</w:t>
            </w:r>
          </w:p>
        </w:tc>
      </w:tr>
      <w:tr>
        <w:tc>
          <w:tcPr>
            <w:tcMar>
              <w:top w:type="dxa" w:w="80"/>
              <w:left w:type="dxa" w:w="120"/>
              <w:bottom w:type="dxa" w:w="80"/>
              <w:right w:type="dxa" w:w="120"/>
            </w:tcMar>
          </w:tcPr>
          <w:p>
            <w:pPr>
              <w:jc w:val="left"/>
            </w:pPr>
            <w:r>
              <w:rPr>
                <w:rFonts w:ascii="Georgia" w:cs="Georgia" w:eastAsia="Georgia" w:hAnsi="Georgia"/>
                <w:sz w:val="18"/>
                <w:szCs w:val="18"/>
              </w:rPr>
              <w:t xml:space="preserve">Jardins potagers communautaires</w:t>
            </w:r>
          </w:p>
        </w:tc>
        <w:tc>
          <w:tcPr>
            <w:tcMar>
              <w:top w:type="dxa" w:w="80"/>
              <w:left w:type="dxa" w:w="120"/>
              <w:bottom w:type="dxa" w:w="80"/>
              <w:right w:type="dxa" w:w="120"/>
            </w:tcMar>
          </w:tcPr>
          <w:p>
            <w:pPr>
              <w:jc w:val="left"/>
            </w:pPr>
            <w:r>
              <w:rPr>
                <w:rFonts w:ascii="Georgia" w:cs="Georgia" w:eastAsia="Georgia" w:hAnsi="Georgia"/>
                <w:sz w:val="18"/>
                <w:szCs w:val="18"/>
              </w:rPr>
              <w:t xml:space="preserve">Intrants, outillage, accompagnement technique</w:t>
            </w:r>
          </w:p>
        </w:tc>
        <w:tc>
          <w:tcPr>
            <w:tcMar>
              <w:top w:type="dxa" w:w="80"/>
              <w:left w:type="dxa" w:w="120"/>
              <w:bottom w:type="dxa" w:w="80"/>
              <w:right w:type="dxa" w:w="120"/>
            </w:tcMar>
          </w:tcPr>
          <w:p>
            <w:pPr>
              <w:jc w:val="right"/>
            </w:pPr>
            <w:r>
              <w:rPr>
                <w:rFonts w:ascii="Georgia" w:cs="Georgia" w:eastAsia="Georgia" w:hAnsi="Georgia"/>
                <w:sz w:val="18"/>
                <w:szCs w:val="18"/>
              </w:rPr>
              <w:t xml:space="preserve">8 000 000</w:t>
            </w:r>
          </w:p>
        </w:tc>
      </w:tr>
      <w:tr>
        <w:tc>
          <w:tcPr>
            <w:tcMar>
              <w:top w:type="dxa" w:w="80"/>
              <w:left w:type="dxa" w:w="120"/>
              <w:bottom w:type="dxa" w:w="80"/>
              <w:right w:type="dxa" w:w="120"/>
            </w:tcMar>
          </w:tcPr>
          <w:p>
            <w:pPr>
              <w:jc w:val="left"/>
            </w:pPr>
            <w:r>
              <w:rPr>
                <w:rFonts w:ascii="Georgia" w:cs="Georgia" w:eastAsia="Georgia" w:hAnsi="Georgia"/>
                <w:sz w:val="18"/>
                <w:szCs w:val="18"/>
              </w:rPr>
              <w:t xml:space="preserve">Kits nutritionnels</w:t>
            </w:r>
          </w:p>
        </w:tc>
        <w:tc>
          <w:tcPr>
            <w:tcMar>
              <w:top w:type="dxa" w:w="80"/>
              <w:left w:type="dxa" w:w="120"/>
              <w:bottom w:type="dxa" w:w="80"/>
              <w:right w:type="dxa" w:w="120"/>
            </w:tcMar>
          </w:tcPr>
          <w:p>
            <w:pPr>
              <w:jc w:val="left"/>
            </w:pPr>
            <w:r>
              <w:rPr>
                <w:rFonts w:ascii="Georgia" w:cs="Georgia" w:eastAsia="Georgia" w:hAnsi="Georgia"/>
                <w:sz w:val="18"/>
                <w:szCs w:val="18"/>
              </w:rPr>
              <w:t xml:space="preserve">Distribution aux ménages prioritaires</w:t>
            </w:r>
          </w:p>
        </w:tc>
        <w:tc>
          <w:tcPr>
            <w:tcMar>
              <w:top w:type="dxa" w:w="80"/>
              <w:left w:type="dxa" w:w="120"/>
              <w:bottom w:type="dxa" w:w="80"/>
              <w:right w:type="dxa" w:w="120"/>
            </w:tcMar>
          </w:tcPr>
          <w:p>
            <w:pPr>
              <w:jc w:val="right"/>
            </w:pPr>
            <w:r>
              <w:rPr>
                <w:rFonts w:ascii="Georgia" w:cs="Georgia" w:eastAsia="Georgia" w:hAnsi="Georgia"/>
                <w:sz w:val="18"/>
                <w:szCs w:val="18"/>
              </w:rPr>
              <w:t xml:space="preserve">6 800 000</w:t>
            </w:r>
          </w:p>
        </w:tc>
      </w:tr>
      <w:tr>
        <w:tc>
          <w:tcPr>
            <w:tcMar>
              <w:top w:type="dxa" w:w="80"/>
              <w:left w:type="dxa" w:w="120"/>
              <w:bottom w:type="dxa" w:w="80"/>
              <w:right w:type="dxa" w:w="120"/>
            </w:tcMar>
          </w:tcPr>
          <w:p>
            <w:pPr>
              <w:jc w:val="left"/>
            </w:pPr>
            <w:r>
              <w:rPr>
                <w:rFonts w:ascii="Georgia" w:cs="Georgia" w:eastAsia="Georgia" w:hAnsi="Georgia"/>
                <w:sz w:val="18"/>
                <w:szCs w:val="18"/>
              </w:rPr>
              <w:t xml:space="preserve">Coordination sanitaire locale</w:t>
            </w:r>
          </w:p>
        </w:tc>
        <w:tc>
          <w:tcPr>
            <w:tcMar>
              <w:top w:type="dxa" w:w="80"/>
              <w:left w:type="dxa" w:w="120"/>
              <w:bottom w:type="dxa" w:w="80"/>
              <w:right w:type="dxa" w:w="120"/>
            </w:tcMar>
          </w:tcPr>
          <w:p>
            <w:pPr>
              <w:jc w:val="left"/>
            </w:pPr>
            <w:r>
              <w:rPr>
                <w:rFonts w:ascii="Georgia" w:cs="Georgia" w:eastAsia="Georgia" w:hAnsi="Georgia"/>
                <w:sz w:val="18"/>
                <w:szCs w:val="18"/>
              </w:rPr>
              <w:t xml:space="preserve">Partenariat avec les structures de santé</w:t>
            </w:r>
          </w:p>
        </w:tc>
        <w:tc>
          <w:tcPr>
            <w:tcMar>
              <w:top w:type="dxa" w:w="80"/>
              <w:left w:type="dxa" w:w="120"/>
              <w:bottom w:type="dxa" w:w="80"/>
              <w:right w:type="dxa" w:w="120"/>
            </w:tcMar>
          </w:tcPr>
          <w:p>
            <w:pPr>
              <w:jc w:val="right"/>
            </w:pPr>
            <w:r>
              <w:rPr>
                <w:rFonts w:ascii="Georgia" w:cs="Georgia" w:eastAsia="Georgia" w:hAnsi="Georgia"/>
                <w:sz w:val="18"/>
                <w:szCs w:val="18"/>
              </w:rPr>
              <w:t xml:space="preserve">1 500 000</w:t>
            </w:r>
          </w:p>
        </w:tc>
      </w:tr>
      <w:tr>
        <w:tc>
          <w:tcPr>
            <w:tcMar>
              <w:top w:type="dxa" w:w="80"/>
              <w:left w:type="dxa" w:w="120"/>
              <w:bottom w:type="dxa" w:w="80"/>
              <w:right w:type="dxa" w:w="120"/>
            </w:tcMar>
          </w:tcPr>
          <w:p>
            <w:pPr>
              <w:jc w:val="left"/>
            </w:pPr>
            <w:r>
              <w:rPr>
                <w:rFonts w:ascii="Georgia" w:cs="Georgia" w:eastAsia="Georgia" w:hAnsi="Georgia"/>
                <w:sz w:val="18"/>
                <w:szCs w:val="18"/>
              </w:rPr>
              <w:t xml:space="preserve">Suivi-évaluation et coordination</w:t>
            </w:r>
          </w:p>
        </w:tc>
        <w:tc>
          <w:tcPr>
            <w:tcMar>
              <w:top w:type="dxa" w:w="80"/>
              <w:left w:type="dxa" w:w="120"/>
              <w:bottom w:type="dxa" w:w="80"/>
              <w:right w:type="dxa" w:w="120"/>
            </w:tcMar>
          </w:tcPr>
          <w:p>
            <w:pPr>
              <w:jc w:val="left"/>
            </w:pPr>
            <w:r>
              <w:rPr>
                <w:rFonts w:ascii="Georgia" w:cs="Georgia" w:eastAsia="Georgia" w:hAnsi="Georgia"/>
                <w:sz w:val="18"/>
                <w:szCs w:val="18"/>
              </w:rPr>
              <w:t xml:space="preserve">Missions de suivi, rapport final, gestion</w:t>
            </w:r>
          </w:p>
        </w:tc>
        <w:tc>
          <w:tcPr>
            <w:tcMar>
              <w:top w:type="dxa" w:w="80"/>
              <w:left w:type="dxa" w:w="120"/>
              <w:bottom w:type="dxa" w:w="80"/>
              <w:right w:type="dxa" w:w="120"/>
            </w:tcMar>
          </w:tcPr>
          <w:p>
            <w:pPr>
              <w:jc w:val="right"/>
            </w:pPr>
            <w:r>
              <w:rPr>
                <w:rFonts w:ascii="Georgia" w:cs="Georgia" w:eastAsia="Georgia" w:hAnsi="Georgia"/>
                <w:sz w:val="18"/>
                <w:szCs w:val="18"/>
              </w:rPr>
              <w:t xml:space="preserve">3 000 000</w:t>
            </w:r>
          </w:p>
        </w:tc>
      </w:tr>
      <w:tr>
        <w:tc>
          <w:tcPr>
            <w:gridSpan w:val="2"/>
            <w:shd w:fill="F7F4EC" w:val="clear"/>
            <w:tcMar>
              <w:top w:type="dxa" w:w="90"/>
              <w:left w:type="dxa" w:w="120"/>
              <w:bottom w:type="dxa" w:w="90"/>
              <w:right w:type="dxa" w:w="120"/>
            </w:tcMar>
          </w:tcPr>
          <w:p>
            <w:r>
              <w:rPr>
                <w:rFonts w:ascii="Georgia" w:cs="Georgia" w:eastAsia="Georgia" w:hAnsi="Georgia"/>
                <w:b/>
                <w:bCs/>
                <w:color w:val="1F3864"/>
                <w:sz w:val="19"/>
                <w:szCs w:val="19"/>
              </w:rPr>
              <w:t xml:space="preserve">TOTAL INDICATIF</w:t>
            </w:r>
          </w:p>
        </w:tc>
        <w:tc>
          <w:tcPr>
            <w:shd w:fill="F7F4EC" w:val="clear"/>
            <w:tcMar>
              <w:top w:type="dxa" w:w="90"/>
              <w:left w:type="dxa" w:w="120"/>
              <w:bottom w:type="dxa" w:w="90"/>
              <w:right w:type="dxa" w:w="120"/>
            </w:tcMar>
          </w:tcPr>
          <w:p>
            <w:pPr>
              <w:jc w:val="right"/>
            </w:pPr>
            <w:r>
              <w:rPr>
                <w:rFonts w:ascii="Georgia" w:cs="Georgia" w:eastAsia="Georgia" w:hAnsi="Georgia"/>
                <w:b/>
                <w:bCs/>
                <w:color w:val="1F3864"/>
                <w:sz w:val="19"/>
                <w:szCs w:val="19"/>
              </w:rPr>
              <w:t xml:space="preserve">27 800 000</w:t>
            </w:r>
          </w:p>
        </w:tc>
      </w:tr>
    </w:tbl>
    <w:p>
      <w:pPr>
        <w:spacing w:before="380"/>
      </w:pPr>
      <w:r>
        <w:rPr>
          <w:rFonts w:ascii="Georgia" w:cs="Georgia" w:eastAsia="Georgia" w:hAnsi="Georgia"/>
          <w:b/>
          <w:bCs/>
          <w:color w:val="1F3864"/>
          <w:sz w:val="22"/>
          <w:szCs w:val="22"/>
        </w:rPr>
        <w:t xml:space="preserve">Contact pour ce projet</w:t>
      </w:r>
    </w:p>
    <w:p>
      <w:pPr>
        <w:spacing w:after="130" w:line="300"/>
        <w:jc w:val="both"/>
      </w:pPr>
      <w:r>
        <w:rPr>
          <w:rFonts w:ascii="Georgia" w:cs="Georgia" w:eastAsia="Georgia" w:hAnsi="Georgia"/>
          <w:sz w:val="21"/>
          <w:szCs w:val="21"/>
        </w:rPr>
        <w:t xml:space="preserve">MAHOUNA F. Paul, Président Fondateur — MMDI</w:t>
      </w:r>
    </w:p>
    <w:p>
      <w:pPr>
        <w:spacing w:after="130" w:line="300"/>
        <w:jc w:val="both"/>
      </w:pPr>
      <w:r>
        <w:rPr>
          <w:rFonts w:ascii="Georgia" w:cs="Georgia" w:eastAsia="Georgia" w:hAnsi="Georgia"/>
          <w:sz w:val="21"/>
          <w:szCs w:val="21"/>
        </w:rPr>
        <w:t xml:space="preserve">Email : partnerships@newvipross.org</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555555"/>
        <w:sz w:val="16"/>
        <w:szCs w:val="16"/>
      </w:rPr>
      <w:t xml:space="preserve">MMDI — Fiche projet NUTRI-BORGOU — page </w:t>
    </w:r>
    <w:r>
      <w:rPr>
        <w:rFonts w:ascii="Georgia" w:cs="Georgia" w:eastAsia="Georgia" w:hAnsi="Georgia"/>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2026-07-28T23:08:18.432Z</dcterms:created>
  <dcterms:modified xsi:type="dcterms:W3CDTF">2026-07-28T23:08:18.432Z</dcterms:modified>
</cp:coreProperties>
</file>

<file path=docProps/custom.xml><?xml version="1.0" encoding="utf-8"?>
<Properties xmlns="http://schemas.openxmlformats.org/officeDocument/2006/custom-properties" xmlns:vt="http://schemas.openxmlformats.org/officeDocument/2006/docPropsVTypes"/>
</file>