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Georgia" w:cs="Georgia" w:eastAsia="Georgia" w:hAnsi="Georgia"/>
          <w:color w:val="000000"/>
          <w:sz w:val="20"/>
          <w:szCs w:val="20"/>
        </w:rPr>
        <w:t xml:space="preserve">RÉPUBLIQUE DU BÉNIN</w:t>
      </w:r>
    </w:p>
    <w:p>
      <w:pPr>
        <w:spacing w:after="120"/>
        <w:jc w:val="center"/>
      </w:pPr>
      <w:r>
        <w:rPr>
          <w:rFonts w:ascii="Georgia" w:cs="Georgia" w:eastAsia="Georgia" w:hAnsi="Georgia"/>
          <w:color w:val="000000"/>
          <w:sz w:val="24"/>
          <w:szCs w:val="24"/>
        </w:rPr>
        <w:t xml:space="preserve"/>
      </w:r>
    </w:p>
    <w:p>
      <w:pPr>
        <w:spacing w:after="120"/>
        <w:jc w:val="center"/>
      </w:pPr>
      <w:r>
        <w:rPr>
          <w:rFonts w:ascii="Georgia" w:cs="Georgia" w:eastAsia="Georgia" w:hAnsi="Georgia"/>
          <w:i/>
          <w:iCs/>
          <w:color w:val="555555"/>
          <w:sz w:val="17"/>
          <w:szCs w:val="17"/>
        </w:rPr>
        <w:t xml:space="preserve">Fiche projet — Version de travail, à valider avant diffusion aux bailleurs</w:t>
      </w:r>
    </w:p>
    <w:p>
      <w:pPr>
        <w:spacing w:after="120"/>
        <w:jc w:val="center"/>
      </w:pPr>
      <w:r>
        <w:rPr>
          <w:rFonts w:ascii="Georgia" w:cs="Georgia" w:eastAsia="Georgia" w:hAnsi="Georgia"/>
          <w:color w:val="000000"/>
          <w:sz w:val="24"/>
          <w:szCs w:val="24"/>
        </w:rPr>
        <w:t xml:space="preserve"/>
      </w:r>
    </w:p>
    <w:p>
      <w:pPr>
        <w:spacing w:after="120"/>
        <w:jc w:val="center"/>
      </w:pPr>
      <w:r>
        <w:rPr>
          <w:rFonts w:ascii="Georgia" w:cs="Georgia" w:eastAsia="Georgia" w:hAnsi="Georgia"/>
          <w:b/>
          <w:bCs/>
          <w:color w:val="1F3864"/>
          <w:sz w:val="34"/>
          <w:szCs w:val="34"/>
        </w:rPr>
        <w:t xml:space="preserve">CAP-JEUNES BORGOU</w:t>
      </w:r>
    </w:p>
    <w:p>
      <w:pPr>
        <w:spacing w:after="120"/>
        <w:jc w:val="center"/>
      </w:pPr>
      <w:r>
        <w:rPr>
          <w:rFonts w:ascii="Georgia" w:cs="Georgia" w:eastAsia="Georgia" w:hAnsi="Georgia"/>
          <w:b/>
          <w:bCs/>
          <w:color w:val="000000"/>
          <w:sz w:val="22"/>
          <w:szCs w:val="22"/>
        </w:rPr>
        <w:t xml:space="preserve">Centre d'apprentissage et de formation professionnelle des jeunes</w:t>
      </w:r>
    </w:p>
    <w:p>
      <w:pPr>
        <w:spacing w:after="120"/>
        <w:jc w:val="center"/>
      </w:pPr>
      <w:r>
        <w:rPr>
          <w:rFonts w:ascii="Georgia" w:cs="Georgia" w:eastAsia="Georgia" w:hAnsi="Georgia"/>
          <w:color w:val="000000"/>
          <w:sz w:val="24"/>
          <w:szCs w:val="24"/>
        </w:rPr>
        <w:t xml:space="preserve"/>
      </w:r>
    </w:p>
    <w:p>
      <w:pPr>
        <w:spacing w:after="120"/>
        <w:jc w:val="center"/>
      </w:pPr>
      <w:r>
        <w:rPr>
          <w:rFonts w:ascii="Georgia" w:cs="Georgia" w:eastAsia="Georgia" w:hAnsi="Georgia"/>
          <w:b/>
          <w:bCs/>
          <w:color w:val="B8860B"/>
          <w:sz w:val="20"/>
          <w:szCs w:val="20"/>
        </w:rPr>
        <w:t xml:space="preserve">MISSION MONDIALE POUR LE DÉVELOPPEMENT INTÉGRAL (MMDI)</w:t>
      </w:r>
    </w:p>
    <w:tbl>
      <w:tblPr>
        <w:tblW w:type="pct" w:w="100%"/>
        <w:tblBorders>
          <w:top w:val="single" w:color="DDD6C4" w:sz="4"/>
          <w:left w:val="single" w:color="DDD6C4" w:sz="4"/>
          <w:bottom w:val="single" w:color="DDD6C4" w:sz="4"/>
          <w:right w:val="single" w:color="DDD6C4" w:sz="4"/>
          <w:insideH w:val="single" w:color="DDD6C4" w:sz="4"/>
          <w:insideV w:val="single" w:color="DDD6C4" w:sz="4"/>
        </w:tblBorders>
      </w:tblPr>
      <w:tblGrid>
        <w:gridCol w:w="100"/>
        <w:gridCol w:w="100"/>
      </w:tblGrid>
      <w:tr>
        <w:tc>
          <w:tcPr>
            <w:tcW w:type="pct" w:w="30%"/>
            <w:shd w:fill="F7F4EC" w:val="clear"/>
            <w:tcMar>
              <w:top w:type="dxa" w:w="100"/>
              <w:left w:type="dxa" w:w="150"/>
              <w:bottom w:type="dxa" w:w="100"/>
              <w:right w:type="dxa" w:w="100"/>
            </w:tcMar>
          </w:tcPr>
          <w:p>
            <w:r>
              <w:rPr>
                <w:rFonts w:ascii="Georgia" w:cs="Georgia" w:eastAsia="Georgia" w:hAnsi="Georgia"/>
                <w:b/>
                <w:bCs/>
                <w:color w:val="1F3864"/>
                <w:sz w:val="19"/>
                <w:szCs w:val="19"/>
              </w:rPr>
              <w:t xml:space="preserve">Axe statutaire</w:t>
            </w:r>
          </w:p>
        </w:tc>
        <w:tc>
          <w:tcPr>
            <w:tcW w:type="pct" w:w="70%"/>
            <w:tcMar>
              <w:top w:type="dxa" w:w="100"/>
              <w:left w:type="dxa" w:w="150"/>
              <w:bottom w:type="dxa" w:w="100"/>
              <w:right w:type="dxa" w:w="100"/>
            </w:tcMar>
          </w:tcPr>
          <w:p>
            <w:r>
              <w:rPr>
                <w:rFonts w:ascii="Georgia" w:cs="Georgia" w:eastAsia="Georgia" w:hAnsi="Georgia"/>
                <w:sz w:val="19"/>
                <w:szCs w:val="19"/>
              </w:rPr>
              <w:t xml:space="preserve">Éducation, formation et jeunesse</w:t>
            </w:r>
          </w:p>
        </w:tc>
      </w:tr>
      <w:tr>
        <w:tc>
          <w:tcPr>
            <w:tcW w:type="pct" w:w="30%"/>
            <w:shd w:fill="F7F4EC" w:val="clear"/>
            <w:tcMar>
              <w:top w:type="dxa" w:w="100"/>
              <w:left w:type="dxa" w:w="150"/>
              <w:bottom w:type="dxa" w:w="100"/>
              <w:right w:type="dxa" w:w="100"/>
            </w:tcMar>
          </w:tcPr>
          <w:p>
            <w:r>
              <w:rPr>
                <w:rFonts w:ascii="Georgia" w:cs="Georgia" w:eastAsia="Georgia" w:hAnsi="Georgia"/>
                <w:b/>
                <w:bCs/>
                <w:color w:val="1F3864"/>
                <w:sz w:val="19"/>
                <w:szCs w:val="19"/>
              </w:rPr>
              <w:t xml:space="preserve">Zone géographique</w:t>
            </w:r>
          </w:p>
        </w:tc>
        <w:tc>
          <w:tcPr>
            <w:tcW w:type="pct" w:w="70%"/>
            <w:tcMar>
              <w:top w:type="dxa" w:w="100"/>
              <w:left w:type="dxa" w:w="150"/>
              <w:bottom w:type="dxa" w:w="100"/>
              <w:right w:type="dxa" w:w="100"/>
            </w:tcMar>
          </w:tcPr>
          <w:p>
            <w:r>
              <w:rPr>
                <w:rFonts w:ascii="Georgia" w:cs="Georgia" w:eastAsia="Georgia" w:hAnsi="Georgia"/>
                <w:sz w:val="19"/>
                <w:szCs w:val="19"/>
              </w:rPr>
              <w:t xml:space="preserve">Département du Borgou, avec point d'ancrage à Parakou</w:t>
            </w:r>
          </w:p>
        </w:tc>
      </w:tr>
      <w:tr>
        <w:tc>
          <w:tcPr>
            <w:tcW w:type="pct" w:w="30%"/>
            <w:shd w:fill="F7F4EC" w:val="clear"/>
            <w:tcMar>
              <w:top w:type="dxa" w:w="100"/>
              <w:left w:type="dxa" w:w="150"/>
              <w:bottom w:type="dxa" w:w="100"/>
              <w:right w:type="dxa" w:w="100"/>
            </w:tcMar>
          </w:tcPr>
          <w:p>
            <w:r>
              <w:rPr>
                <w:rFonts w:ascii="Georgia" w:cs="Georgia" w:eastAsia="Georgia" w:hAnsi="Georgia"/>
                <w:b/>
                <w:bCs/>
                <w:color w:val="1F3864"/>
                <w:sz w:val="19"/>
                <w:szCs w:val="19"/>
              </w:rPr>
              <w:t xml:space="preserve">Bénéficiaires ciblés</w:t>
            </w:r>
          </w:p>
        </w:tc>
        <w:tc>
          <w:tcPr>
            <w:tcW w:type="pct" w:w="70%"/>
            <w:tcMar>
              <w:top w:type="dxa" w:w="100"/>
              <w:left w:type="dxa" w:w="150"/>
              <w:bottom w:type="dxa" w:w="100"/>
              <w:right w:type="dxa" w:w="100"/>
            </w:tcMar>
          </w:tcPr>
          <w:p>
            <w:r>
              <w:rPr>
                <w:rFonts w:ascii="Georgia" w:cs="Georgia" w:eastAsia="Georgia" w:hAnsi="Georgia"/>
                <w:sz w:val="19"/>
                <w:szCs w:val="19"/>
              </w:rPr>
              <w:t xml:space="preserve">300 jeunes de 15 à 30 ans, dont une priorité donnée aux jeunes filles</w:t>
            </w:r>
          </w:p>
        </w:tc>
      </w:tr>
      <w:tr>
        <w:tc>
          <w:tcPr>
            <w:tcW w:type="pct" w:w="30%"/>
            <w:shd w:fill="F7F4EC" w:val="clear"/>
            <w:tcMar>
              <w:top w:type="dxa" w:w="100"/>
              <w:left w:type="dxa" w:w="150"/>
              <w:bottom w:type="dxa" w:w="100"/>
              <w:right w:type="dxa" w:w="100"/>
            </w:tcMar>
          </w:tcPr>
          <w:p>
            <w:r>
              <w:rPr>
                <w:rFonts w:ascii="Georgia" w:cs="Georgia" w:eastAsia="Georgia" w:hAnsi="Georgia"/>
                <w:b/>
                <w:bCs/>
                <w:color w:val="1F3864"/>
                <w:sz w:val="19"/>
                <w:szCs w:val="19"/>
              </w:rPr>
              <w:t xml:space="preserve">Durée envisagée</w:t>
            </w:r>
          </w:p>
        </w:tc>
        <w:tc>
          <w:tcPr>
            <w:tcW w:type="pct" w:w="70%"/>
            <w:tcMar>
              <w:top w:type="dxa" w:w="100"/>
              <w:left w:type="dxa" w:w="150"/>
              <w:bottom w:type="dxa" w:w="100"/>
              <w:right w:type="dxa" w:w="100"/>
            </w:tcMar>
          </w:tcPr>
          <w:p>
            <w:r>
              <w:rPr>
                <w:rFonts w:ascii="Georgia" w:cs="Georgia" w:eastAsia="Georgia" w:hAnsi="Georgia"/>
                <w:sz w:val="19"/>
                <w:szCs w:val="19"/>
              </w:rPr>
              <w:t xml:space="preserve">12 mois</w:t>
            </w:r>
          </w:p>
        </w:tc>
      </w:tr>
      <w:tr>
        <w:tc>
          <w:tcPr>
            <w:tcW w:type="pct" w:w="30%"/>
            <w:shd w:fill="F7F4EC" w:val="clear"/>
            <w:tcMar>
              <w:top w:type="dxa" w:w="100"/>
              <w:left w:type="dxa" w:w="150"/>
              <w:bottom w:type="dxa" w:w="100"/>
              <w:right w:type="dxa" w:w="100"/>
            </w:tcMar>
          </w:tcPr>
          <w:p>
            <w:r>
              <w:rPr>
                <w:rFonts w:ascii="Georgia" w:cs="Georgia" w:eastAsia="Georgia" w:hAnsi="Georgia"/>
                <w:b/>
                <w:bCs/>
                <w:color w:val="1F3864"/>
                <w:sz w:val="19"/>
                <w:szCs w:val="19"/>
              </w:rPr>
              <w:t xml:space="preserve">Budget indicatif</w:t>
            </w:r>
          </w:p>
        </w:tc>
        <w:tc>
          <w:tcPr>
            <w:tcW w:type="pct" w:w="70%"/>
            <w:tcMar>
              <w:top w:type="dxa" w:w="100"/>
              <w:left w:type="dxa" w:w="150"/>
              <w:bottom w:type="dxa" w:w="100"/>
              <w:right w:type="dxa" w:w="100"/>
            </w:tcMar>
          </w:tcPr>
          <w:p>
            <w:r>
              <w:rPr>
                <w:rFonts w:ascii="Georgia" w:cs="Georgia" w:eastAsia="Georgia" w:hAnsi="Georgia"/>
                <w:sz w:val="19"/>
                <w:szCs w:val="19"/>
              </w:rPr>
              <w:t xml:space="preserve">18 200 000 FCFA (à valider — voir détail en fin de fiche)</w:t>
            </w:r>
          </w:p>
        </w:tc>
      </w:tr>
    </w:tbl>
    <w:p>
      <w:pPr>
        <w:pStyle w:val="Heading1"/>
        <w:pBdr>
          <w:bottom w:val="single" w:color="1F3864" w:sz="8" w:space="4"/>
        </w:pBdr>
        <w:spacing w:after="140" w:before="340"/>
      </w:pPr>
      <w:r>
        <w:rPr>
          <w:rFonts w:ascii="Georgia" w:cs="Georgia" w:eastAsia="Georgia" w:hAnsi="Georgia"/>
          <w:b/>
          <w:bCs/>
          <w:color w:val="1F3864"/>
          <w:sz w:val="25"/>
          <w:szCs w:val="25"/>
        </w:rPr>
        <w:t xml:space="preserve">Contexte et justification</w:t>
      </w:r>
    </w:p>
    <w:p>
      <w:pPr>
        <w:spacing w:after="130" w:line="300"/>
        <w:jc w:val="both"/>
      </w:pPr>
      <w:r>
        <w:rPr>
          <w:rFonts w:ascii="Georgia" w:cs="Georgia" w:eastAsia="Georgia" w:hAnsi="Georgia"/>
          <w:sz w:val="21"/>
          <w:szCs w:val="21"/>
        </w:rPr>
        <w:t xml:space="preserve">La jeunesse du Borgou fait face à un accès limité à des formations professionnalisantes de proximité, dans un contexte marqué par un fort taux de déscolarisation précoce et un chômage des jeunes préoccupant. Beaucoup de jeunes, en particulier les jeunes filles, n'ont pas accès à des filières de formation courtes leur permettant une insertion économique rapide.</w:t>
      </w:r>
    </w:p>
    <w:p>
      <w:pPr>
        <w:spacing w:after="130" w:line="300"/>
        <w:jc w:val="both"/>
      </w:pPr>
      <w:r>
        <w:rPr>
          <w:rFonts w:ascii="Georgia" w:cs="Georgia" w:eastAsia="Georgia" w:hAnsi="Georgia"/>
          <w:sz w:val="21"/>
          <w:szCs w:val="21"/>
        </w:rPr>
        <w:t xml:space="preserve">La MMDI souhaite contribuer à combler ce manque en appuyant des sessions de formation qualifiante courtes, adaptées aux réalités économiques locales du Borgou.</w:t>
      </w:r>
    </w:p>
    <w:p>
      <w:pPr>
        <w:pStyle w:val="Heading1"/>
        <w:pBdr>
          <w:bottom w:val="single" w:color="1F3864" w:sz="8" w:space="4"/>
        </w:pBdr>
        <w:spacing w:after="140" w:before="340"/>
      </w:pPr>
      <w:r>
        <w:rPr>
          <w:rFonts w:ascii="Georgia" w:cs="Georgia" w:eastAsia="Georgia" w:hAnsi="Georgia"/>
          <w:b/>
          <w:bCs/>
          <w:color w:val="1F3864"/>
          <w:sz w:val="25"/>
          <w:szCs w:val="25"/>
        </w:rPr>
        <w:t xml:space="preserve">Objectif général</w:t>
      </w:r>
    </w:p>
    <w:p>
      <w:pPr>
        <w:spacing w:after="130" w:line="300"/>
        <w:jc w:val="both"/>
      </w:pPr>
      <w:r>
        <w:rPr>
          <w:rFonts w:ascii="Georgia" w:cs="Georgia" w:eastAsia="Georgia" w:hAnsi="Georgia"/>
          <w:sz w:val="21"/>
          <w:szCs w:val="21"/>
        </w:rPr>
        <w:t xml:space="preserve">Renforcer l'employabilité et l'autonomie économique des jeunes du Borgou par l'accès à des formations professionnelles courtes et adaptées.</w:t>
      </w:r>
    </w:p>
    <w:p>
      <w:pPr>
        <w:pStyle w:val="Heading1"/>
        <w:pBdr>
          <w:bottom w:val="single" w:color="1F3864" w:sz="8" w:space="4"/>
        </w:pBdr>
        <w:spacing w:after="140" w:before="340"/>
      </w:pPr>
      <w:r>
        <w:rPr>
          <w:rFonts w:ascii="Georgia" w:cs="Georgia" w:eastAsia="Georgia" w:hAnsi="Georgia"/>
          <w:b/>
          <w:bCs/>
          <w:color w:val="1F3864"/>
          <w:sz w:val="25"/>
          <w:szCs w:val="25"/>
        </w:rPr>
        <w:t xml:space="preserve">Objectifs spécifiques</w:t>
      </w:r>
    </w:p>
    <w:p>
      <w:pPr>
        <w:pStyle w:val="ListParagraph"/>
        <w:numPr>
          <w:ilvl w:val="0"/>
          <w:numId w:val="1"/>
        </w:numPr>
        <w:spacing w:after="70"/>
      </w:pPr>
      <w:r>
        <w:rPr>
          <w:rFonts w:ascii="Georgia" w:cs="Georgia" w:eastAsia="Georgia" w:hAnsi="Georgia"/>
          <w:sz w:val="21"/>
          <w:szCs w:val="21"/>
        </w:rPr>
        <w:t xml:space="preserve">Identifier, avec les acteurs locaux, les filières porteuses d'emploi dans la zone d'intervention ;</w:t>
      </w:r>
    </w:p>
    <w:p>
      <w:pPr>
        <w:pStyle w:val="ListParagraph"/>
        <w:numPr>
          <w:ilvl w:val="0"/>
          <w:numId w:val="1"/>
        </w:numPr>
        <w:spacing w:after="70"/>
      </w:pPr>
      <w:r>
        <w:rPr>
          <w:rFonts w:ascii="Georgia" w:cs="Georgia" w:eastAsia="Georgia" w:hAnsi="Georgia"/>
          <w:sz w:val="21"/>
          <w:szCs w:val="21"/>
        </w:rPr>
        <w:t xml:space="preserve">Organiser des sessions de formation qualifiante courtes dans ces filières ;</w:t>
      </w:r>
    </w:p>
    <w:p>
      <w:pPr>
        <w:pStyle w:val="ListParagraph"/>
        <w:numPr>
          <w:ilvl w:val="0"/>
          <w:numId w:val="1"/>
        </w:numPr>
        <w:spacing w:after="70"/>
      </w:pPr>
      <w:r>
        <w:rPr>
          <w:rFonts w:ascii="Georgia" w:cs="Georgia" w:eastAsia="Georgia" w:hAnsi="Georgia"/>
          <w:sz w:val="21"/>
          <w:szCs w:val="21"/>
        </w:rPr>
        <w:t xml:space="preserve">Accompagner les jeunes formés vers l'insertion professionnelle ou l'auto-emploi ;</w:t>
      </w:r>
    </w:p>
    <w:p>
      <w:pPr>
        <w:pStyle w:val="ListParagraph"/>
        <w:numPr>
          <w:ilvl w:val="0"/>
          <w:numId w:val="1"/>
        </w:numPr>
        <w:spacing w:after="70"/>
      </w:pPr>
      <w:r>
        <w:rPr>
          <w:rFonts w:ascii="Georgia" w:cs="Georgia" w:eastAsia="Georgia" w:hAnsi="Georgia"/>
          <w:sz w:val="21"/>
          <w:szCs w:val="21"/>
        </w:rPr>
        <w:t xml:space="preserve">Favoriser la participation des jeunes filles à ces formations.</w:t>
      </w:r>
    </w:p>
    <w:p>
      <w:pPr>
        <w:pStyle w:val="Heading1"/>
        <w:pBdr>
          <w:bottom w:val="single" w:color="1F3864" w:sz="8" w:space="4"/>
        </w:pBdr>
        <w:spacing w:after="140" w:before="340"/>
      </w:pPr>
      <w:r>
        <w:rPr>
          <w:rFonts w:ascii="Georgia" w:cs="Georgia" w:eastAsia="Georgia" w:hAnsi="Georgia"/>
          <w:b/>
          <w:bCs/>
          <w:color w:val="1F3864"/>
          <w:sz w:val="25"/>
          <w:szCs w:val="25"/>
        </w:rPr>
        <w:t xml:space="preserve">Activités principales</w:t>
      </w:r>
    </w:p>
    <w:p>
      <w:pPr>
        <w:pStyle w:val="ListParagraph"/>
        <w:numPr>
          <w:ilvl w:val="0"/>
          <w:numId w:val="1"/>
        </w:numPr>
        <w:spacing w:after="70"/>
      </w:pPr>
      <w:r>
        <w:rPr>
          <w:rFonts w:ascii="Georgia" w:cs="Georgia" w:eastAsia="Georgia" w:hAnsi="Georgia"/>
          <w:sz w:val="21"/>
          <w:szCs w:val="21"/>
        </w:rPr>
        <w:t xml:space="preserve">Étude rapide des filières porteuses et des besoins en compétences dans le Borgou ;</w:t>
      </w:r>
    </w:p>
    <w:p>
      <w:pPr>
        <w:pStyle w:val="ListParagraph"/>
        <w:numPr>
          <w:ilvl w:val="0"/>
          <w:numId w:val="1"/>
        </w:numPr>
        <w:spacing w:after="70"/>
      </w:pPr>
      <w:r>
        <w:rPr>
          <w:rFonts w:ascii="Georgia" w:cs="Georgia" w:eastAsia="Georgia" w:hAnsi="Georgia"/>
          <w:sz w:val="21"/>
          <w:szCs w:val="21"/>
        </w:rPr>
        <w:t xml:space="preserve">Organisation de sessions de formation courtes (couture, informatique de base, agro-transformation, entrepreneuriat) ;</w:t>
      </w:r>
    </w:p>
    <w:p>
      <w:pPr>
        <w:pStyle w:val="ListParagraph"/>
        <w:numPr>
          <w:ilvl w:val="0"/>
          <w:numId w:val="1"/>
        </w:numPr>
        <w:spacing w:after="70"/>
      </w:pPr>
      <w:r>
        <w:rPr>
          <w:rFonts w:ascii="Georgia" w:cs="Georgia" w:eastAsia="Georgia" w:hAnsi="Georgia"/>
          <w:sz w:val="21"/>
          <w:szCs w:val="21"/>
        </w:rPr>
        <w:t xml:space="preserve">Mise à disposition de kits de démarrage pour les jeunes en auto-emploi ;</w:t>
      </w:r>
    </w:p>
    <w:p>
      <w:pPr>
        <w:pStyle w:val="ListParagraph"/>
        <w:numPr>
          <w:ilvl w:val="0"/>
          <w:numId w:val="1"/>
        </w:numPr>
        <w:spacing w:after="70"/>
      </w:pPr>
      <w:r>
        <w:rPr>
          <w:rFonts w:ascii="Georgia" w:cs="Georgia" w:eastAsia="Georgia" w:hAnsi="Georgia"/>
          <w:sz w:val="21"/>
          <w:szCs w:val="21"/>
        </w:rPr>
        <w:t xml:space="preserve">Accompagnement individualisé à l'insertion professionnelle ou à la création d'activité ;</w:t>
      </w:r>
    </w:p>
    <w:p>
      <w:pPr>
        <w:pStyle w:val="ListParagraph"/>
        <w:numPr>
          <w:ilvl w:val="0"/>
          <w:numId w:val="1"/>
        </w:numPr>
        <w:spacing w:after="70"/>
      </w:pPr>
      <w:r>
        <w:rPr>
          <w:rFonts w:ascii="Georgia" w:cs="Georgia" w:eastAsia="Georgia" w:hAnsi="Georgia"/>
          <w:sz w:val="21"/>
          <w:szCs w:val="21"/>
        </w:rPr>
        <w:t xml:space="preserve">Mise en réseau avec des structures locales de formation professionnelle et des employeurs potentiels.</w:t>
      </w:r>
    </w:p>
    <w:p>
      <w:pPr>
        <w:pStyle w:val="Heading1"/>
        <w:pBdr>
          <w:bottom w:val="single" w:color="1F3864" w:sz="8" w:space="4"/>
        </w:pBdr>
        <w:spacing w:after="140" w:before="340"/>
      </w:pPr>
      <w:r>
        <w:rPr>
          <w:rFonts w:ascii="Georgia" w:cs="Georgia" w:eastAsia="Georgia" w:hAnsi="Georgia"/>
          <w:b/>
          <w:bCs/>
          <w:color w:val="1F3864"/>
          <w:sz w:val="25"/>
          <w:szCs w:val="25"/>
        </w:rPr>
        <w:t xml:space="preserve">Résultats attendus</w:t>
      </w:r>
    </w:p>
    <w:p>
      <w:pPr>
        <w:pStyle w:val="ListParagraph"/>
        <w:numPr>
          <w:ilvl w:val="0"/>
          <w:numId w:val="1"/>
        </w:numPr>
        <w:spacing w:after="70"/>
      </w:pPr>
      <w:r>
        <w:rPr>
          <w:rFonts w:ascii="Georgia" w:cs="Georgia" w:eastAsia="Georgia" w:hAnsi="Georgia"/>
          <w:sz w:val="21"/>
          <w:szCs w:val="21"/>
        </w:rPr>
        <w:t xml:space="preserve">300 jeunes ont suivi une formation qualifiante courte adaptée aux besoins du marché local ;</w:t>
      </w:r>
    </w:p>
    <w:p>
      <w:pPr>
        <w:pStyle w:val="ListParagraph"/>
        <w:numPr>
          <w:ilvl w:val="0"/>
          <w:numId w:val="1"/>
        </w:numPr>
        <w:spacing w:after="70"/>
      </w:pPr>
      <w:r>
        <w:rPr>
          <w:rFonts w:ascii="Georgia" w:cs="Georgia" w:eastAsia="Georgia" w:hAnsi="Georgia"/>
          <w:sz w:val="21"/>
          <w:szCs w:val="21"/>
        </w:rPr>
        <w:t xml:space="preserve">Une part significative des jeunes formés est insérée professionnellement ou a démarré une activité génératrice de revenus ;</w:t>
      </w:r>
    </w:p>
    <w:p>
      <w:pPr>
        <w:pStyle w:val="ListParagraph"/>
        <w:numPr>
          <w:ilvl w:val="0"/>
          <w:numId w:val="1"/>
        </w:numPr>
        <w:spacing w:after="70"/>
      </w:pPr>
      <w:r>
        <w:rPr>
          <w:rFonts w:ascii="Georgia" w:cs="Georgia" w:eastAsia="Georgia" w:hAnsi="Georgia"/>
          <w:sz w:val="21"/>
          <w:szCs w:val="21"/>
        </w:rPr>
        <w:t xml:space="preserve">Un partenariat est établi avec au moins un centre de formation professionnelle local ;</w:t>
      </w:r>
    </w:p>
    <w:p>
      <w:pPr>
        <w:pStyle w:val="ListParagraph"/>
        <w:numPr>
          <w:ilvl w:val="0"/>
          <w:numId w:val="1"/>
        </w:numPr>
        <w:spacing w:after="70"/>
      </w:pPr>
      <w:r>
        <w:rPr>
          <w:rFonts w:ascii="Georgia" w:cs="Georgia" w:eastAsia="Georgia" w:hAnsi="Georgia"/>
          <w:sz w:val="21"/>
          <w:szCs w:val="21"/>
        </w:rPr>
        <w:t xml:space="preserve">La participation des jeunes filles représente au moins 40 % des bénéficiaires.</w:t>
      </w:r>
    </w:p>
    <w:p>
      <w:pPr>
        <w:pStyle w:val="Heading1"/>
        <w:pBdr>
          <w:bottom w:val="single" w:color="1F3864" w:sz="8" w:space="4"/>
        </w:pBdr>
        <w:spacing w:after="140" w:before="340"/>
      </w:pPr>
      <w:r>
        <w:rPr>
          <w:rFonts w:ascii="Georgia" w:cs="Georgia" w:eastAsia="Georgia" w:hAnsi="Georgia"/>
          <w:b/>
          <w:bCs/>
          <w:color w:val="1F3864"/>
          <w:sz w:val="25"/>
          <w:szCs w:val="25"/>
        </w:rPr>
        <w:t xml:space="preserve">Budget indicatif</w:t>
      </w:r>
    </w:p>
    <w:p>
      <w:pPr>
        <w:spacing w:after="130" w:line="280"/>
      </w:pPr>
      <w:r>
        <w:rPr>
          <w:rFonts w:ascii="Georgia" w:cs="Georgia" w:eastAsia="Georgia" w:hAnsi="Georgia"/>
          <w:i/>
          <w:iCs/>
          <w:color w:val="555555"/>
          <w:sz w:val="18"/>
          <w:szCs w:val="18"/>
        </w:rPr>
        <w:t xml:space="preserve">Ce budget est une estimation de cadrage destinée à orienter les discussions avec les bailleurs ; il sera affiné après l'étude des filières porteuses.</w:t>
      </w:r>
    </w:p>
    <w:tbl>
      <w:tblPr>
        <w:tblW w:type="pct" w:w="100%"/>
        <w:tblBorders>
          <w:top w:val="single" w:color="DDD6C4" w:sz="4"/>
          <w:left w:val="single" w:color="DDD6C4" w:sz="4"/>
          <w:bottom w:val="single" w:color="DDD6C4" w:sz="4"/>
          <w:right w:val="single" w:color="DDD6C4" w:sz="4"/>
          <w:insideH w:val="single" w:color="DDD6C4" w:sz="4"/>
          <w:insideV w:val="single" w:color="DDD6C4" w:sz="4"/>
        </w:tblBorders>
      </w:tblPr>
      <w:tblGrid>
        <w:gridCol w:w="100"/>
        <w:gridCol w:w="100"/>
        <w:gridCol w:w="100"/>
      </w:tblGrid>
      <w:tr>
        <w:tc>
          <w:tcPr>
            <w:shd w:fill="1F3864" w:val="clear"/>
            <w:tcMar>
              <w:top w:type="dxa" w:w="90"/>
              <w:left w:type="dxa" w:w="120"/>
              <w:bottom w:type="dxa" w:w="90"/>
              <w:right w:type="dxa" w:w="120"/>
            </w:tcMar>
          </w:tcPr>
          <w:p>
            <w:r>
              <w:rPr>
                <w:rFonts w:ascii="Georgia" w:cs="Georgia" w:eastAsia="Georgia" w:hAnsi="Georgia"/>
                <w:b/>
                <w:bCs/>
                <w:color w:val="FFFFFF"/>
                <w:sz w:val="18"/>
                <w:szCs w:val="18"/>
              </w:rPr>
              <w:t xml:space="preserve">Poste budgétaire</w:t>
            </w:r>
          </w:p>
        </w:tc>
        <w:tc>
          <w:tcPr>
            <w:shd w:fill="1F3864" w:val="clear"/>
            <w:tcMar>
              <w:top w:type="dxa" w:w="90"/>
              <w:left w:type="dxa" w:w="120"/>
              <w:bottom w:type="dxa" w:w="90"/>
              <w:right w:type="dxa" w:w="120"/>
            </w:tcMar>
          </w:tcPr>
          <w:p>
            <w:r>
              <w:rPr>
                <w:rFonts w:ascii="Georgia" w:cs="Georgia" w:eastAsia="Georgia" w:hAnsi="Georgia"/>
                <w:b/>
                <w:bCs/>
                <w:color w:val="FFFFFF"/>
                <w:sz w:val="18"/>
                <w:szCs w:val="18"/>
              </w:rPr>
              <w:t xml:space="preserve">Description</w:t>
            </w:r>
          </w:p>
        </w:tc>
        <w:tc>
          <w:tcPr>
            <w:shd w:fill="1F3864" w:val="clear"/>
            <w:tcMar>
              <w:top w:type="dxa" w:w="90"/>
              <w:left w:type="dxa" w:w="120"/>
              <w:bottom w:type="dxa" w:w="90"/>
              <w:right w:type="dxa" w:w="120"/>
            </w:tcMar>
          </w:tcPr>
          <w:p>
            <w:r>
              <w:rPr>
                <w:rFonts w:ascii="Georgia" w:cs="Georgia" w:eastAsia="Georgia" w:hAnsi="Georgia"/>
                <w:b/>
                <w:bCs/>
                <w:color w:val="FFFFFF"/>
                <w:sz w:val="18"/>
                <w:szCs w:val="18"/>
              </w:rPr>
              <w:t xml:space="preserve">Montant indicatif (FCFA)</w:t>
            </w:r>
          </w:p>
        </w:tc>
      </w:tr>
      <w:tr>
        <w:tc>
          <w:tcPr>
            <w:tcMar>
              <w:top w:type="dxa" w:w="80"/>
              <w:left w:type="dxa" w:w="120"/>
              <w:bottom w:type="dxa" w:w="80"/>
              <w:right w:type="dxa" w:w="120"/>
            </w:tcMar>
          </w:tcPr>
          <w:p>
            <w:pPr>
              <w:jc w:val="left"/>
            </w:pPr>
            <w:r>
              <w:rPr>
                <w:rFonts w:ascii="Georgia" w:cs="Georgia" w:eastAsia="Georgia" w:hAnsi="Georgia"/>
                <w:sz w:val="18"/>
                <w:szCs w:val="18"/>
              </w:rPr>
              <w:t xml:space="preserve">Étude des filières porteuses</w:t>
            </w:r>
          </w:p>
        </w:tc>
        <w:tc>
          <w:tcPr>
            <w:tcMar>
              <w:top w:type="dxa" w:w="80"/>
              <w:left w:type="dxa" w:w="120"/>
              <w:bottom w:type="dxa" w:w="80"/>
              <w:right w:type="dxa" w:w="120"/>
            </w:tcMar>
          </w:tcPr>
          <w:p>
            <w:pPr>
              <w:jc w:val="left"/>
            </w:pPr>
            <w:r>
              <w:rPr>
                <w:rFonts w:ascii="Georgia" w:cs="Georgia" w:eastAsia="Georgia" w:hAnsi="Georgia"/>
                <w:sz w:val="18"/>
                <w:szCs w:val="18"/>
              </w:rPr>
              <w:t xml:space="preserve">Diagnostic local, consultation des acteurs</w:t>
            </w:r>
          </w:p>
        </w:tc>
        <w:tc>
          <w:tcPr>
            <w:tcMar>
              <w:top w:type="dxa" w:w="80"/>
              <w:left w:type="dxa" w:w="120"/>
              <w:bottom w:type="dxa" w:w="80"/>
              <w:right w:type="dxa" w:w="120"/>
            </w:tcMar>
          </w:tcPr>
          <w:p>
            <w:pPr>
              <w:jc w:val="right"/>
            </w:pPr>
            <w:r>
              <w:rPr>
                <w:rFonts w:ascii="Georgia" w:cs="Georgia" w:eastAsia="Georgia" w:hAnsi="Georgia"/>
                <w:sz w:val="18"/>
                <w:szCs w:val="18"/>
              </w:rPr>
              <w:t xml:space="preserve">1 500 000</w:t>
            </w:r>
          </w:p>
        </w:tc>
      </w:tr>
      <w:tr>
        <w:tc>
          <w:tcPr>
            <w:tcMar>
              <w:top w:type="dxa" w:w="80"/>
              <w:left w:type="dxa" w:w="120"/>
              <w:bottom w:type="dxa" w:w="80"/>
              <w:right w:type="dxa" w:w="120"/>
            </w:tcMar>
          </w:tcPr>
          <w:p>
            <w:pPr>
              <w:jc w:val="left"/>
            </w:pPr>
            <w:r>
              <w:rPr>
                <w:rFonts w:ascii="Georgia" w:cs="Georgia" w:eastAsia="Georgia" w:hAnsi="Georgia"/>
                <w:sz w:val="18"/>
                <w:szCs w:val="18"/>
              </w:rPr>
              <w:t xml:space="preserve">Organisation des formations</w:t>
            </w:r>
          </w:p>
        </w:tc>
        <w:tc>
          <w:tcPr>
            <w:tcMar>
              <w:top w:type="dxa" w:w="80"/>
              <w:left w:type="dxa" w:w="120"/>
              <w:bottom w:type="dxa" w:w="80"/>
              <w:right w:type="dxa" w:w="120"/>
            </w:tcMar>
          </w:tcPr>
          <w:p>
            <w:pPr>
              <w:jc w:val="left"/>
            </w:pPr>
            <w:r>
              <w:rPr>
                <w:rFonts w:ascii="Georgia" w:cs="Georgia" w:eastAsia="Georgia" w:hAnsi="Georgia"/>
                <w:sz w:val="18"/>
                <w:szCs w:val="18"/>
              </w:rPr>
              <w:t xml:space="preserve">Formateurs, matériel pédagogique, locaux</w:t>
            </w:r>
          </w:p>
        </w:tc>
        <w:tc>
          <w:tcPr>
            <w:tcMar>
              <w:top w:type="dxa" w:w="80"/>
              <w:left w:type="dxa" w:w="120"/>
              <w:bottom w:type="dxa" w:w="80"/>
              <w:right w:type="dxa" w:w="120"/>
            </w:tcMar>
          </w:tcPr>
          <w:p>
            <w:pPr>
              <w:jc w:val="right"/>
            </w:pPr>
            <w:r>
              <w:rPr>
                <w:rFonts w:ascii="Georgia" w:cs="Georgia" w:eastAsia="Georgia" w:hAnsi="Georgia"/>
                <w:sz w:val="18"/>
                <w:szCs w:val="18"/>
              </w:rPr>
              <w:t xml:space="preserve">8 000 000</w:t>
            </w:r>
          </w:p>
        </w:tc>
      </w:tr>
      <w:tr>
        <w:tc>
          <w:tcPr>
            <w:tcMar>
              <w:top w:type="dxa" w:w="80"/>
              <w:left w:type="dxa" w:w="120"/>
              <w:bottom w:type="dxa" w:w="80"/>
              <w:right w:type="dxa" w:w="120"/>
            </w:tcMar>
          </w:tcPr>
          <w:p>
            <w:pPr>
              <w:jc w:val="left"/>
            </w:pPr>
            <w:r>
              <w:rPr>
                <w:rFonts w:ascii="Georgia" w:cs="Georgia" w:eastAsia="Georgia" w:hAnsi="Georgia"/>
                <w:sz w:val="18"/>
                <w:szCs w:val="18"/>
              </w:rPr>
              <w:t xml:space="preserve">Kits de démarrage</w:t>
            </w:r>
          </w:p>
        </w:tc>
        <w:tc>
          <w:tcPr>
            <w:tcMar>
              <w:top w:type="dxa" w:w="80"/>
              <w:left w:type="dxa" w:w="120"/>
              <w:bottom w:type="dxa" w:w="80"/>
              <w:right w:type="dxa" w:w="120"/>
            </w:tcMar>
          </w:tcPr>
          <w:p>
            <w:pPr>
              <w:jc w:val="left"/>
            </w:pPr>
            <w:r>
              <w:rPr>
                <w:rFonts w:ascii="Georgia" w:cs="Georgia" w:eastAsia="Georgia" w:hAnsi="Georgia"/>
                <w:sz w:val="18"/>
                <w:szCs w:val="18"/>
              </w:rPr>
              <w:t xml:space="preserve">Matériel de base pour jeunes en auto-emploi</w:t>
            </w:r>
          </w:p>
        </w:tc>
        <w:tc>
          <w:tcPr>
            <w:tcMar>
              <w:top w:type="dxa" w:w="80"/>
              <w:left w:type="dxa" w:w="120"/>
              <w:bottom w:type="dxa" w:w="80"/>
              <w:right w:type="dxa" w:w="120"/>
            </w:tcMar>
          </w:tcPr>
          <w:p>
            <w:pPr>
              <w:jc w:val="right"/>
            </w:pPr>
            <w:r>
              <w:rPr>
                <w:rFonts w:ascii="Georgia" w:cs="Georgia" w:eastAsia="Georgia" w:hAnsi="Georgia"/>
                <w:sz w:val="18"/>
                <w:szCs w:val="18"/>
              </w:rPr>
              <w:t xml:space="preserve">5 000 000</w:t>
            </w:r>
          </w:p>
        </w:tc>
      </w:tr>
      <w:tr>
        <w:tc>
          <w:tcPr>
            <w:tcMar>
              <w:top w:type="dxa" w:w="80"/>
              <w:left w:type="dxa" w:w="120"/>
              <w:bottom w:type="dxa" w:w="80"/>
              <w:right w:type="dxa" w:w="120"/>
            </w:tcMar>
          </w:tcPr>
          <w:p>
            <w:pPr>
              <w:jc w:val="left"/>
            </w:pPr>
            <w:r>
              <w:rPr>
                <w:rFonts w:ascii="Georgia" w:cs="Georgia" w:eastAsia="Georgia" w:hAnsi="Georgia"/>
                <w:sz w:val="18"/>
                <w:szCs w:val="18"/>
              </w:rPr>
              <w:t xml:space="preserve">Accompagnement à l'insertion</w:t>
            </w:r>
          </w:p>
        </w:tc>
        <w:tc>
          <w:tcPr>
            <w:tcMar>
              <w:top w:type="dxa" w:w="80"/>
              <w:left w:type="dxa" w:w="120"/>
              <w:bottom w:type="dxa" w:w="80"/>
              <w:right w:type="dxa" w:w="120"/>
            </w:tcMar>
          </w:tcPr>
          <w:p>
            <w:pPr>
              <w:jc w:val="left"/>
            </w:pPr>
            <w:r>
              <w:rPr>
                <w:rFonts w:ascii="Georgia" w:cs="Georgia" w:eastAsia="Georgia" w:hAnsi="Georgia"/>
                <w:sz w:val="18"/>
                <w:szCs w:val="18"/>
              </w:rPr>
              <w:t xml:space="preserve">Suivi individualisé, mise en réseau</w:t>
            </w:r>
          </w:p>
        </w:tc>
        <w:tc>
          <w:tcPr>
            <w:tcMar>
              <w:top w:type="dxa" w:w="80"/>
              <w:left w:type="dxa" w:w="120"/>
              <w:bottom w:type="dxa" w:w="80"/>
              <w:right w:type="dxa" w:w="120"/>
            </w:tcMar>
          </w:tcPr>
          <w:p>
            <w:pPr>
              <w:jc w:val="right"/>
            </w:pPr>
            <w:r>
              <w:rPr>
                <w:rFonts w:ascii="Georgia" w:cs="Georgia" w:eastAsia="Georgia" w:hAnsi="Georgia"/>
                <w:sz w:val="18"/>
                <w:szCs w:val="18"/>
              </w:rPr>
              <w:t xml:space="preserve">1 700 000</w:t>
            </w:r>
          </w:p>
        </w:tc>
      </w:tr>
      <w:tr>
        <w:tc>
          <w:tcPr>
            <w:tcMar>
              <w:top w:type="dxa" w:w="80"/>
              <w:left w:type="dxa" w:w="120"/>
              <w:bottom w:type="dxa" w:w="80"/>
              <w:right w:type="dxa" w:w="120"/>
            </w:tcMar>
          </w:tcPr>
          <w:p>
            <w:pPr>
              <w:jc w:val="left"/>
            </w:pPr>
            <w:r>
              <w:rPr>
                <w:rFonts w:ascii="Georgia" w:cs="Georgia" w:eastAsia="Georgia" w:hAnsi="Georgia"/>
                <w:sz w:val="18"/>
                <w:szCs w:val="18"/>
              </w:rPr>
              <w:t xml:space="preserve">Suivi-évaluation</w:t>
            </w:r>
          </w:p>
        </w:tc>
        <w:tc>
          <w:tcPr>
            <w:tcMar>
              <w:top w:type="dxa" w:w="80"/>
              <w:left w:type="dxa" w:w="120"/>
              <w:bottom w:type="dxa" w:w="80"/>
              <w:right w:type="dxa" w:w="120"/>
            </w:tcMar>
          </w:tcPr>
          <w:p>
            <w:pPr>
              <w:jc w:val="left"/>
            </w:pPr>
            <w:r>
              <w:rPr>
                <w:rFonts w:ascii="Georgia" w:cs="Georgia" w:eastAsia="Georgia" w:hAnsi="Georgia"/>
                <w:sz w:val="18"/>
                <w:szCs w:val="18"/>
              </w:rPr>
              <w:t xml:space="preserve">Missions de suivi, rapport final</w:t>
            </w:r>
          </w:p>
        </w:tc>
        <w:tc>
          <w:tcPr>
            <w:tcMar>
              <w:top w:type="dxa" w:w="80"/>
              <w:left w:type="dxa" w:w="120"/>
              <w:bottom w:type="dxa" w:w="80"/>
              <w:right w:type="dxa" w:w="120"/>
            </w:tcMar>
          </w:tcPr>
          <w:p>
            <w:pPr>
              <w:jc w:val="right"/>
            </w:pPr>
            <w:r>
              <w:rPr>
                <w:rFonts w:ascii="Georgia" w:cs="Georgia" w:eastAsia="Georgia" w:hAnsi="Georgia"/>
                <w:sz w:val="18"/>
                <w:szCs w:val="18"/>
              </w:rPr>
              <w:t xml:space="preserve">1 000 000</w:t>
            </w:r>
          </w:p>
        </w:tc>
      </w:tr>
      <w:tr>
        <w:tc>
          <w:tcPr>
            <w:tcMar>
              <w:top w:type="dxa" w:w="80"/>
              <w:left w:type="dxa" w:w="120"/>
              <w:bottom w:type="dxa" w:w="80"/>
              <w:right w:type="dxa" w:w="120"/>
            </w:tcMar>
          </w:tcPr>
          <w:p>
            <w:pPr>
              <w:jc w:val="left"/>
            </w:pPr>
            <w:r>
              <w:rPr>
                <w:rFonts w:ascii="Georgia" w:cs="Georgia" w:eastAsia="Georgia" w:hAnsi="Georgia"/>
                <w:sz w:val="18"/>
                <w:szCs w:val="18"/>
              </w:rPr>
              <w:t xml:space="preserve">Coordination et gestion de programme</w:t>
            </w:r>
          </w:p>
        </w:tc>
        <w:tc>
          <w:tcPr>
            <w:tcMar>
              <w:top w:type="dxa" w:w="80"/>
              <w:left w:type="dxa" w:w="120"/>
              <w:bottom w:type="dxa" w:w="80"/>
              <w:right w:type="dxa" w:w="120"/>
            </w:tcMar>
          </w:tcPr>
          <w:p>
            <w:pPr>
              <w:jc w:val="left"/>
            </w:pPr>
            <w:r>
              <w:rPr>
                <w:rFonts w:ascii="Georgia" w:cs="Georgia" w:eastAsia="Georgia" w:hAnsi="Georgia"/>
                <w:sz w:val="18"/>
                <w:szCs w:val="18"/>
              </w:rPr>
              <w:t xml:space="preserve">Personnel de coordination, fonctionnement</w:t>
            </w:r>
          </w:p>
        </w:tc>
        <w:tc>
          <w:tcPr>
            <w:tcMar>
              <w:top w:type="dxa" w:w="80"/>
              <w:left w:type="dxa" w:w="120"/>
              <w:bottom w:type="dxa" w:w="80"/>
              <w:right w:type="dxa" w:w="120"/>
            </w:tcMar>
          </w:tcPr>
          <w:p>
            <w:pPr>
              <w:jc w:val="right"/>
            </w:pPr>
            <w:r>
              <w:rPr>
                <w:rFonts w:ascii="Georgia" w:cs="Georgia" w:eastAsia="Georgia" w:hAnsi="Georgia"/>
                <w:sz w:val="18"/>
                <w:szCs w:val="18"/>
              </w:rPr>
              <w:t xml:space="preserve">1 000 000</w:t>
            </w:r>
          </w:p>
        </w:tc>
      </w:tr>
      <w:tr>
        <w:tc>
          <w:tcPr>
            <w:gridSpan w:val="2"/>
            <w:shd w:fill="F7F4EC" w:val="clear"/>
            <w:tcMar>
              <w:top w:type="dxa" w:w="90"/>
              <w:left w:type="dxa" w:w="120"/>
              <w:bottom w:type="dxa" w:w="90"/>
              <w:right w:type="dxa" w:w="120"/>
            </w:tcMar>
          </w:tcPr>
          <w:p>
            <w:r>
              <w:rPr>
                <w:rFonts w:ascii="Georgia" w:cs="Georgia" w:eastAsia="Georgia" w:hAnsi="Georgia"/>
                <w:b/>
                <w:bCs/>
                <w:color w:val="1F3864"/>
                <w:sz w:val="19"/>
                <w:szCs w:val="19"/>
              </w:rPr>
              <w:t xml:space="preserve">TOTAL INDICATIF</w:t>
            </w:r>
          </w:p>
        </w:tc>
        <w:tc>
          <w:tcPr>
            <w:shd w:fill="F7F4EC" w:val="clear"/>
            <w:tcMar>
              <w:top w:type="dxa" w:w="90"/>
              <w:left w:type="dxa" w:w="120"/>
              <w:bottom w:type="dxa" w:w="90"/>
              <w:right w:type="dxa" w:w="120"/>
            </w:tcMar>
          </w:tcPr>
          <w:p>
            <w:pPr>
              <w:jc w:val="right"/>
            </w:pPr>
            <w:r>
              <w:rPr>
                <w:rFonts w:ascii="Georgia" w:cs="Georgia" w:eastAsia="Georgia" w:hAnsi="Georgia"/>
                <w:b/>
                <w:bCs/>
                <w:color w:val="1F3864"/>
                <w:sz w:val="19"/>
                <w:szCs w:val="19"/>
              </w:rPr>
              <w:t xml:space="preserve">18 200 000</w:t>
            </w:r>
          </w:p>
        </w:tc>
      </w:tr>
    </w:tbl>
    <w:p>
      <w:pPr>
        <w:spacing w:before="380"/>
      </w:pPr>
      <w:r>
        <w:rPr>
          <w:rFonts w:ascii="Georgia" w:cs="Georgia" w:eastAsia="Georgia" w:hAnsi="Georgia"/>
          <w:b/>
          <w:bCs/>
          <w:color w:val="1F3864"/>
          <w:sz w:val="22"/>
          <w:szCs w:val="22"/>
        </w:rPr>
        <w:t xml:space="preserve">Contact pour ce projet</w:t>
      </w:r>
    </w:p>
    <w:p>
      <w:pPr>
        <w:spacing w:after="130" w:line="300"/>
        <w:jc w:val="both"/>
      </w:pPr>
      <w:r>
        <w:rPr>
          <w:rFonts w:ascii="Georgia" w:cs="Georgia" w:eastAsia="Georgia" w:hAnsi="Georgia"/>
          <w:sz w:val="21"/>
          <w:szCs w:val="21"/>
        </w:rPr>
        <w:t xml:space="preserve">MAHOUNA F. Paul, Président Fondateur — MMDI</w:t>
      </w:r>
    </w:p>
    <w:p>
      <w:pPr>
        <w:spacing w:after="130" w:line="300"/>
        <w:jc w:val="both"/>
      </w:pPr>
      <w:r>
        <w:rPr>
          <w:rFonts w:ascii="Georgia" w:cs="Georgia" w:eastAsia="Georgia" w:hAnsi="Georgia"/>
          <w:sz w:val="21"/>
          <w:szCs w:val="21"/>
        </w:rPr>
        <w:t xml:space="preserve">Email : partnerships@newvipross.org</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555555"/>
        <w:sz w:val="16"/>
        <w:szCs w:val="16"/>
      </w:rPr>
      <w:t xml:space="preserve">MMDI — Fiche projet CAP-JEUNES BORGOU — page </w:t>
    </w:r>
    <w:r>
      <w:rPr>
        <w:rFonts w:ascii="Georgia" w:cs="Georgia" w:eastAsia="Georgia" w:hAnsi="Georgia"/>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2026-07-28T23:08:18.316Z</dcterms:created>
  <dcterms:modified xsi:type="dcterms:W3CDTF">2026-07-28T23:08:18.316Z</dcterms:modified>
</cp:coreProperties>
</file>

<file path=docProps/custom.xml><?xml version="1.0" encoding="utf-8"?>
<Properties xmlns="http://schemas.openxmlformats.org/officeDocument/2006/custom-properties" xmlns:vt="http://schemas.openxmlformats.org/officeDocument/2006/docPropsVTypes"/>
</file>